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A57AA" w14:textId="77777777" w:rsidR="006051DA" w:rsidRPr="00BB4B1A" w:rsidRDefault="006051DA" w:rsidP="00603FEB">
      <w:pPr>
        <w:spacing w:after="0"/>
        <w:jc w:val="center"/>
        <w:rPr>
          <w:b/>
          <w:sz w:val="28"/>
          <w:szCs w:val="28"/>
          <w:lang w:val="fr-FR"/>
        </w:rPr>
      </w:pPr>
    </w:p>
    <w:p w14:paraId="3F01CE61" w14:textId="77777777" w:rsidR="00966E04" w:rsidRPr="00BB4B1A" w:rsidRDefault="00BB4B1A" w:rsidP="0034792F">
      <w:pPr>
        <w:spacing w:after="0"/>
        <w:jc w:val="center"/>
        <w:rPr>
          <w:b/>
          <w:smallCaps/>
          <w:sz w:val="28"/>
          <w:szCs w:val="28"/>
          <w:lang w:val="fr-FR"/>
        </w:rPr>
      </w:pPr>
      <w:r>
        <w:rPr>
          <w:b/>
          <w:smallCaps/>
          <w:sz w:val="28"/>
          <w:szCs w:val="28"/>
          <w:lang w:val="fr-FR"/>
        </w:rPr>
        <w:t>Programme de travail de l’</w:t>
      </w:r>
      <w:r w:rsidR="003F1A16" w:rsidRPr="00BB4B1A">
        <w:rPr>
          <w:b/>
          <w:smallCaps/>
          <w:sz w:val="28"/>
          <w:szCs w:val="28"/>
          <w:lang w:val="fr-FR"/>
        </w:rPr>
        <w:t xml:space="preserve">IHP+ 2014/15 </w:t>
      </w:r>
    </w:p>
    <w:p w14:paraId="43572CDD" w14:textId="77777777" w:rsidR="00603FEB" w:rsidRPr="00BB4B1A" w:rsidRDefault="00603FEB" w:rsidP="00603FEB">
      <w:pPr>
        <w:spacing w:after="0"/>
        <w:jc w:val="center"/>
        <w:rPr>
          <w:b/>
          <w:smallCaps/>
          <w:sz w:val="28"/>
          <w:szCs w:val="28"/>
          <w:lang w:val="fr-FR"/>
        </w:rPr>
      </w:pPr>
    </w:p>
    <w:p w14:paraId="0260FB06" w14:textId="77777777" w:rsidR="00603FEB" w:rsidRPr="00BB4B1A" w:rsidRDefault="00603FEB" w:rsidP="00603FEB">
      <w:pPr>
        <w:spacing w:after="0"/>
        <w:rPr>
          <w:lang w:val="fr-FR"/>
        </w:rPr>
      </w:pPr>
    </w:p>
    <w:p w14:paraId="5D8AB566" w14:textId="77777777" w:rsidR="00F149FA" w:rsidRPr="00BB4B1A" w:rsidRDefault="00966E04">
      <w:pPr>
        <w:shd w:val="clear" w:color="auto" w:fill="FFFFFF" w:themeFill="background1"/>
        <w:spacing w:after="0"/>
        <w:rPr>
          <w:b/>
          <w:smallCaps/>
          <w:sz w:val="28"/>
          <w:szCs w:val="28"/>
          <w:lang w:val="fr-FR"/>
        </w:rPr>
      </w:pPr>
      <w:r w:rsidRPr="00BB4B1A">
        <w:rPr>
          <w:b/>
          <w:smallCaps/>
          <w:sz w:val="28"/>
          <w:szCs w:val="28"/>
          <w:lang w:val="fr-FR"/>
        </w:rPr>
        <w:t>Introduction</w:t>
      </w:r>
    </w:p>
    <w:p w14:paraId="2D5DE7F2" w14:textId="77777777" w:rsidR="00A42C23" w:rsidRPr="00BB4B1A" w:rsidRDefault="00BB4B1A" w:rsidP="00966E04">
      <w:pPr>
        <w:spacing w:after="0"/>
        <w:rPr>
          <w:lang w:val="fr-FR"/>
        </w:rPr>
      </w:pPr>
      <w:r>
        <w:rPr>
          <w:lang w:val="fr-FR"/>
        </w:rPr>
        <w:t xml:space="preserve">Ce programme de travail est fondé sur les priorités </w:t>
      </w:r>
      <w:r w:rsidR="003A3E53">
        <w:rPr>
          <w:lang w:val="fr-FR"/>
        </w:rPr>
        <w:t>présentées</w:t>
      </w:r>
      <w:r>
        <w:rPr>
          <w:lang w:val="fr-FR"/>
        </w:rPr>
        <w:t xml:space="preserve"> dans le document intitulé « Aligner pour de meilleurs résultats</w:t>
      </w:r>
      <w:r w:rsidR="002C449E">
        <w:rPr>
          <w:lang w:val="fr-FR"/>
        </w:rPr>
        <w:t xml:space="preserve"> - O</w:t>
      </w:r>
      <w:r>
        <w:rPr>
          <w:lang w:val="fr-FR"/>
        </w:rPr>
        <w:t>rientations stratégiques de l’IHP+ pour 2014/15</w:t>
      </w:r>
      <w:r w:rsidR="002C449E">
        <w:rPr>
          <w:lang w:val="fr-FR"/>
        </w:rPr>
        <w:t> »</w:t>
      </w:r>
      <w:r w:rsidR="003A3E53">
        <w:rPr>
          <w:lang w:val="fr-FR"/>
        </w:rPr>
        <w:t xml:space="preserve">, et </w:t>
      </w:r>
      <w:r>
        <w:rPr>
          <w:lang w:val="fr-FR"/>
        </w:rPr>
        <w:t>doit être lu en parallèle</w:t>
      </w:r>
      <w:r w:rsidR="003A3E53">
        <w:rPr>
          <w:lang w:val="fr-FR"/>
        </w:rPr>
        <w:t>.</w:t>
      </w:r>
      <w:r>
        <w:rPr>
          <w:lang w:val="fr-FR"/>
        </w:rPr>
        <w:t xml:space="preserve"> </w:t>
      </w:r>
      <w:r w:rsidR="003A3E53">
        <w:rPr>
          <w:lang w:val="fr-FR"/>
        </w:rPr>
        <w:t xml:space="preserve">Se fondant sur les </w:t>
      </w:r>
      <w:r>
        <w:rPr>
          <w:lang w:val="fr-FR"/>
        </w:rPr>
        <w:t>réalisations de l’IHP+</w:t>
      </w:r>
      <w:r w:rsidR="003A3E53">
        <w:rPr>
          <w:lang w:val="fr-FR"/>
        </w:rPr>
        <w:t xml:space="preserve">, il décrit comment </w:t>
      </w:r>
      <w:r>
        <w:rPr>
          <w:lang w:val="fr-FR"/>
        </w:rPr>
        <w:t>l’IHP+ intensifiera l’action sur la coopération au développement et les résultats</w:t>
      </w:r>
      <w:r w:rsidR="003A3E53">
        <w:rPr>
          <w:lang w:val="fr-FR"/>
        </w:rPr>
        <w:t>,</w:t>
      </w:r>
      <w:r>
        <w:rPr>
          <w:lang w:val="fr-FR"/>
        </w:rPr>
        <w:t xml:space="preserve"> ainsi que convenu dans le Pacte mondial de l’IHP+ et résumé dans les « sept comportements ». </w:t>
      </w:r>
      <w:r w:rsidR="003A3E53">
        <w:rPr>
          <w:lang w:val="fr-FR"/>
        </w:rPr>
        <w:t xml:space="preserve">Ce programme </w:t>
      </w:r>
      <w:r>
        <w:rPr>
          <w:lang w:val="fr-FR"/>
        </w:rPr>
        <w:t>envisage aussi les rôles des différents partenaires de l’IHP+ et le</w:t>
      </w:r>
      <w:r w:rsidR="003A3E53">
        <w:rPr>
          <w:lang w:val="fr-FR"/>
        </w:rPr>
        <w:t>ur</w:t>
      </w:r>
      <w:r>
        <w:rPr>
          <w:lang w:val="fr-FR"/>
        </w:rPr>
        <w:t xml:space="preserve">s liens avec d’autres institutions, tout spécialement le </w:t>
      </w:r>
      <w:r w:rsidRPr="00BB4B1A">
        <w:rPr>
          <w:lang w:val="fr-FR"/>
        </w:rPr>
        <w:t xml:space="preserve">Partenariat mondial pour une coopération efficace au service du développement </w:t>
      </w:r>
      <w:r>
        <w:rPr>
          <w:lang w:val="fr-FR"/>
        </w:rPr>
        <w:t>et le Comité d’aide au développement de l’Organisation de coopération et de développement économiques (OCDE).</w:t>
      </w:r>
      <w:r w:rsidR="00A42C23" w:rsidRPr="00BB4B1A">
        <w:rPr>
          <w:lang w:val="fr-FR"/>
        </w:rPr>
        <w:t xml:space="preserve"> </w:t>
      </w:r>
      <w:r w:rsidR="00F86D78" w:rsidRPr="00BB4B1A">
        <w:rPr>
          <w:lang w:val="fr-FR"/>
        </w:rPr>
        <w:t xml:space="preserve">  </w:t>
      </w:r>
    </w:p>
    <w:p w14:paraId="0697E9E3" w14:textId="77777777" w:rsidR="00A42C23" w:rsidRPr="00BB4B1A" w:rsidRDefault="00A42C23" w:rsidP="00966E04">
      <w:pPr>
        <w:spacing w:after="0"/>
        <w:rPr>
          <w:lang w:val="fr-FR"/>
        </w:rPr>
      </w:pPr>
    </w:p>
    <w:p w14:paraId="0CF45B12" w14:textId="77777777" w:rsidR="004436D7" w:rsidRPr="00BB4B1A" w:rsidRDefault="00BB4B1A" w:rsidP="00966E04">
      <w:pPr>
        <w:spacing w:after="0"/>
        <w:rPr>
          <w:lang w:val="fr-FR"/>
        </w:rPr>
      </w:pPr>
      <w:r>
        <w:rPr>
          <w:lang w:val="fr-FR"/>
        </w:rPr>
        <w:t xml:space="preserve">Le plan de travail comporte cinq sections. Les trois premières </w:t>
      </w:r>
      <w:r w:rsidR="003A3E53">
        <w:rPr>
          <w:lang w:val="fr-FR"/>
        </w:rPr>
        <w:t>décrivent</w:t>
      </w:r>
      <w:r>
        <w:rPr>
          <w:lang w:val="fr-FR"/>
        </w:rPr>
        <w:t xml:space="preserve"> les mesures prévues au titre de chaque élément central du programme stratégique, et indiquent les résultats escomptés et le calendrier. Elles sont suivies de sections sur la supervision de l’IHP+, ses opérations et communications et le budget indicatif pour 2014/15. Certains domaines sont plus définis que d’autres. Des </w:t>
      </w:r>
      <w:r w:rsidR="002C449E">
        <w:rPr>
          <w:lang w:val="fr-FR"/>
        </w:rPr>
        <w:t>activités</w:t>
      </w:r>
      <w:r>
        <w:rPr>
          <w:lang w:val="fr-FR"/>
        </w:rPr>
        <w:t xml:space="preserve"> supplémentaires et des repères seront élaborés à mesure que le travail progresse.</w:t>
      </w:r>
    </w:p>
    <w:p w14:paraId="15567E75" w14:textId="77777777" w:rsidR="007275F2" w:rsidRPr="00BB4B1A" w:rsidRDefault="007275F2" w:rsidP="00966E04">
      <w:pPr>
        <w:spacing w:after="0"/>
        <w:rPr>
          <w:lang w:val="fr-FR"/>
        </w:rPr>
      </w:pPr>
    </w:p>
    <w:p w14:paraId="323E1BD5" w14:textId="77777777" w:rsidR="00A26326" w:rsidRPr="00BB4B1A" w:rsidRDefault="00BB4B1A" w:rsidP="00961485">
      <w:pPr>
        <w:pStyle w:val="ListParagraph"/>
        <w:numPr>
          <w:ilvl w:val="0"/>
          <w:numId w:val="20"/>
        </w:numPr>
        <w:shd w:val="clear" w:color="auto" w:fill="FFFFFF" w:themeFill="background1"/>
        <w:spacing w:after="0"/>
        <w:rPr>
          <w:b/>
          <w:i/>
          <w:smallCaps/>
          <w:sz w:val="28"/>
          <w:szCs w:val="28"/>
          <w:lang w:val="fr-FR"/>
        </w:rPr>
      </w:pPr>
      <w:r>
        <w:rPr>
          <w:b/>
          <w:i/>
          <w:smallCaps/>
          <w:sz w:val="28"/>
          <w:szCs w:val="28"/>
          <w:lang w:val="fr-FR"/>
        </w:rPr>
        <w:t>Action politique et organisationnelle</w:t>
      </w:r>
      <w:r w:rsidR="000E4D3C" w:rsidRPr="00BB4B1A">
        <w:rPr>
          <w:b/>
          <w:i/>
          <w:smallCaps/>
          <w:sz w:val="28"/>
          <w:szCs w:val="28"/>
          <w:lang w:val="fr-FR"/>
        </w:rPr>
        <w:t xml:space="preserve"> </w:t>
      </w:r>
    </w:p>
    <w:p w14:paraId="13BE7F3E" w14:textId="77777777" w:rsidR="008D3100" w:rsidRPr="00BB4B1A" w:rsidRDefault="003A3E53" w:rsidP="000771AD">
      <w:pPr>
        <w:spacing w:after="0"/>
        <w:rPr>
          <w:lang w:val="fr-FR"/>
        </w:rPr>
      </w:pPr>
      <w:r>
        <w:rPr>
          <w:lang w:val="fr-FR"/>
        </w:rPr>
        <w:t xml:space="preserve">Poursuivre </w:t>
      </w:r>
      <w:r w:rsidR="00BB4B1A">
        <w:rPr>
          <w:lang w:val="fr-FR"/>
        </w:rPr>
        <w:t>et élargir l’approche à double voie pour amener un changement positif durable sur les sept comportements ces deux prochaines années.</w:t>
      </w:r>
      <w:r w:rsidR="00D82D26" w:rsidRPr="00BB4B1A">
        <w:rPr>
          <w:lang w:val="fr-FR"/>
        </w:rPr>
        <w:t xml:space="preserve"> </w:t>
      </w:r>
    </w:p>
    <w:p w14:paraId="0E241E3B" w14:textId="77777777" w:rsidR="00D82D26" w:rsidRPr="00BB4B1A" w:rsidRDefault="00D82D26" w:rsidP="000771AD">
      <w:pPr>
        <w:spacing w:after="0"/>
        <w:rPr>
          <w:lang w:val="fr-FR"/>
        </w:rPr>
      </w:pPr>
    </w:p>
    <w:p w14:paraId="1AA87376" w14:textId="77777777" w:rsidR="00A26326" w:rsidRPr="00BB4B1A" w:rsidRDefault="003905DA" w:rsidP="00F83FC1">
      <w:pPr>
        <w:shd w:val="clear" w:color="auto" w:fill="FFFFFF" w:themeFill="background1"/>
        <w:ind w:left="357"/>
        <w:rPr>
          <w:sz w:val="24"/>
          <w:szCs w:val="24"/>
          <w:lang w:val="fr-FR"/>
        </w:rPr>
      </w:pPr>
      <w:r w:rsidRPr="00BB4B1A">
        <w:rPr>
          <w:b/>
          <w:sz w:val="24"/>
          <w:szCs w:val="24"/>
          <w:lang w:val="fr-FR"/>
        </w:rPr>
        <w:t xml:space="preserve">A.1 </w:t>
      </w:r>
      <w:r w:rsidR="007E696A">
        <w:rPr>
          <w:b/>
          <w:sz w:val="24"/>
          <w:szCs w:val="24"/>
          <w:lang w:val="fr-FR"/>
        </w:rPr>
        <w:t>Intensifi</w:t>
      </w:r>
      <w:r w:rsidR="00A30431">
        <w:rPr>
          <w:b/>
          <w:sz w:val="24"/>
          <w:szCs w:val="24"/>
          <w:lang w:val="fr-FR"/>
        </w:rPr>
        <w:t xml:space="preserve">er </w:t>
      </w:r>
      <w:r w:rsidR="007E696A">
        <w:rPr>
          <w:b/>
          <w:sz w:val="24"/>
          <w:szCs w:val="24"/>
          <w:lang w:val="fr-FR"/>
        </w:rPr>
        <w:t>l’action sur les sept comportements parmi les institutions internationales</w:t>
      </w:r>
    </w:p>
    <w:p w14:paraId="4B6227EB" w14:textId="77777777" w:rsidR="005C73AC" w:rsidRPr="00BB4B1A" w:rsidRDefault="00B369CF" w:rsidP="00DE28F5">
      <w:pPr>
        <w:shd w:val="clear" w:color="auto" w:fill="FFFFFF" w:themeFill="background1"/>
        <w:spacing w:after="0"/>
        <w:ind w:left="357" w:firstLine="357"/>
        <w:rPr>
          <w:lang w:val="fr-FR"/>
        </w:rPr>
      </w:pPr>
      <w:r w:rsidRPr="00BB4B1A">
        <w:rPr>
          <w:i/>
          <w:lang w:val="fr-FR"/>
        </w:rPr>
        <w:t>Acti</w:t>
      </w:r>
      <w:r w:rsidR="00762BE1">
        <w:rPr>
          <w:i/>
          <w:lang w:val="fr-FR"/>
        </w:rPr>
        <w:t>vités</w:t>
      </w:r>
      <w:r w:rsidRPr="00BB4B1A">
        <w:rPr>
          <w:i/>
          <w:lang w:val="fr-FR"/>
        </w:rPr>
        <w:t xml:space="preserve"> </w:t>
      </w:r>
    </w:p>
    <w:p w14:paraId="0FA2491A" w14:textId="77777777" w:rsidR="00EE3DDE" w:rsidRPr="00BB4B1A" w:rsidRDefault="007E696A" w:rsidP="005C73AC">
      <w:pPr>
        <w:pStyle w:val="ListParagraph"/>
        <w:numPr>
          <w:ilvl w:val="0"/>
          <w:numId w:val="12"/>
        </w:numPr>
        <w:shd w:val="clear" w:color="auto" w:fill="FFFFFF" w:themeFill="background1"/>
        <w:spacing w:after="0"/>
        <w:rPr>
          <w:lang w:val="fr-FR"/>
        </w:rPr>
      </w:pPr>
      <w:r>
        <w:rPr>
          <w:lang w:val="fr-FR"/>
        </w:rPr>
        <w:t>Le Comité directeur de l’</w:t>
      </w:r>
      <w:r w:rsidR="00FB0394" w:rsidRPr="00BB4B1A">
        <w:rPr>
          <w:lang w:val="fr-FR"/>
        </w:rPr>
        <w:t xml:space="preserve">IHP+ </w:t>
      </w:r>
      <w:r>
        <w:rPr>
          <w:lang w:val="fr-FR"/>
        </w:rPr>
        <w:t xml:space="preserve">examine les progrès </w:t>
      </w:r>
      <w:r w:rsidR="003A3E53">
        <w:rPr>
          <w:lang w:val="fr-FR"/>
        </w:rPr>
        <w:t xml:space="preserve">dans </w:t>
      </w:r>
      <w:r>
        <w:rPr>
          <w:lang w:val="fr-FR"/>
        </w:rPr>
        <w:t>les auto-évaluations des institutions sur les sept comportements, ainsi que l’action collective sur des questions précises, et accepte les prochaines étapes pour accélérer des modalités de travail plus harmonisées et alignées des institutions.</w:t>
      </w:r>
    </w:p>
    <w:p w14:paraId="5FDB1F0B" w14:textId="77777777" w:rsidR="0059424E" w:rsidRPr="00BB4B1A" w:rsidRDefault="007E696A" w:rsidP="005C73AC">
      <w:pPr>
        <w:pStyle w:val="ListParagraph"/>
        <w:numPr>
          <w:ilvl w:val="0"/>
          <w:numId w:val="12"/>
        </w:numPr>
        <w:shd w:val="clear" w:color="auto" w:fill="FFFFFF" w:themeFill="background1"/>
        <w:spacing w:after="0"/>
        <w:rPr>
          <w:lang w:val="fr-FR"/>
        </w:rPr>
      </w:pPr>
      <w:r>
        <w:rPr>
          <w:lang w:val="fr-FR"/>
        </w:rPr>
        <w:t xml:space="preserve">Les institutions prennent le relais </w:t>
      </w:r>
      <w:r w:rsidR="003A3E53">
        <w:rPr>
          <w:lang w:val="fr-FR"/>
        </w:rPr>
        <w:t xml:space="preserve">pour </w:t>
      </w:r>
      <w:r>
        <w:rPr>
          <w:lang w:val="fr-FR"/>
        </w:rPr>
        <w:t xml:space="preserve">l’approche combinée de l’action des institutions, </w:t>
      </w:r>
      <w:r w:rsidR="003A3E53">
        <w:rPr>
          <w:lang w:val="fr-FR"/>
        </w:rPr>
        <w:t xml:space="preserve">comme </w:t>
      </w:r>
      <w:r>
        <w:rPr>
          <w:lang w:val="fr-FR"/>
        </w:rPr>
        <w:t xml:space="preserve">convenu </w:t>
      </w:r>
      <w:r w:rsidR="003A3E53">
        <w:rPr>
          <w:lang w:val="fr-FR"/>
        </w:rPr>
        <w:t>au</w:t>
      </w:r>
      <w:r>
        <w:rPr>
          <w:lang w:val="fr-FR"/>
        </w:rPr>
        <w:t xml:space="preserve"> Comité directeur : action collective des institutions sur des questions précises</w:t>
      </w:r>
      <w:r w:rsidR="003A3E53">
        <w:rPr>
          <w:lang w:val="fr-FR"/>
        </w:rPr>
        <w:t>, dans un premier temps pour</w:t>
      </w:r>
      <w:r>
        <w:rPr>
          <w:lang w:val="fr-FR"/>
        </w:rPr>
        <w:t xml:space="preserve"> rationaliser les exigences des institutions en matière d’établissement des rapports, puis </w:t>
      </w:r>
      <w:r w:rsidR="00BE787F">
        <w:rPr>
          <w:lang w:val="fr-FR"/>
        </w:rPr>
        <w:t xml:space="preserve">pour les préoccupations relatives à la </w:t>
      </w:r>
      <w:r>
        <w:rPr>
          <w:lang w:val="fr-FR"/>
        </w:rPr>
        <w:t>gestion financière</w:t>
      </w:r>
      <w:r w:rsidR="00BE787F">
        <w:rPr>
          <w:lang w:val="fr-FR"/>
        </w:rPr>
        <w:t>,</w:t>
      </w:r>
      <w:r>
        <w:rPr>
          <w:lang w:val="fr-FR"/>
        </w:rPr>
        <w:t xml:space="preserve"> conjointement avec l’auto-évaluation </w:t>
      </w:r>
      <w:r w:rsidR="00BE787F">
        <w:rPr>
          <w:lang w:val="fr-FR"/>
        </w:rPr>
        <w:t xml:space="preserve">individuelle </w:t>
      </w:r>
      <w:r>
        <w:rPr>
          <w:lang w:val="fr-FR"/>
        </w:rPr>
        <w:t xml:space="preserve">de la performance sur les sept comportements, </w:t>
      </w:r>
      <w:r w:rsidR="00BE787F">
        <w:rPr>
          <w:lang w:val="fr-FR"/>
        </w:rPr>
        <w:t xml:space="preserve">ce qui aboutira </w:t>
      </w:r>
      <w:r>
        <w:rPr>
          <w:lang w:val="fr-FR"/>
        </w:rPr>
        <w:t xml:space="preserve">à des mesures </w:t>
      </w:r>
      <w:r w:rsidR="00BE787F">
        <w:rPr>
          <w:lang w:val="fr-FR"/>
        </w:rPr>
        <w:t xml:space="preserve">améliorant </w:t>
      </w:r>
      <w:r>
        <w:rPr>
          <w:lang w:val="fr-FR"/>
        </w:rPr>
        <w:t>la performance.</w:t>
      </w:r>
      <w:r w:rsidR="002F322F" w:rsidRPr="00BB4B1A">
        <w:rPr>
          <w:lang w:val="fr-FR"/>
        </w:rPr>
        <w:t xml:space="preserve"> </w:t>
      </w:r>
    </w:p>
    <w:p w14:paraId="7442D677" w14:textId="77777777" w:rsidR="00D20159" w:rsidRPr="00BB4B1A" w:rsidRDefault="00D20159" w:rsidP="005C73AC">
      <w:pPr>
        <w:shd w:val="clear" w:color="auto" w:fill="FFFFFF" w:themeFill="background1"/>
        <w:spacing w:after="0"/>
        <w:ind w:left="360"/>
        <w:rPr>
          <w:i/>
          <w:lang w:val="fr-FR"/>
        </w:rPr>
      </w:pPr>
      <w:r w:rsidRPr="00BB4B1A">
        <w:rPr>
          <w:i/>
          <w:lang w:val="fr-FR"/>
        </w:rPr>
        <w:tab/>
      </w:r>
      <w:r w:rsidR="007E696A">
        <w:rPr>
          <w:i/>
          <w:lang w:val="fr-FR"/>
        </w:rPr>
        <w:t>Repères</w:t>
      </w:r>
    </w:p>
    <w:tbl>
      <w:tblPr>
        <w:tblStyle w:val="TableGrid"/>
        <w:tblW w:w="87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2127"/>
      </w:tblGrid>
      <w:tr w:rsidR="00BE787F" w:rsidRPr="00BE787F" w14:paraId="422E4EE8" w14:textId="77777777" w:rsidTr="00BE787F">
        <w:tc>
          <w:tcPr>
            <w:tcW w:w="6662" w:type="dxa"/>
          </w:tcPr>
          <w:p w14:paraId="432A7B88" w14:textId="77777777" w:rsidR="00BE787F" w:rsidRPr="00BE787F" w:rsidRDefault="00BE787F" w:rsidP="002B2F9C">
            <w:pPr>
              <w:rPr>
                <w:lang w:val="fr-FR"/>
              </w:rPr>
            </w:pPr>
            <w:r w:rsidRPr="00BE787F">
              <w:rPr>
                <w:lang w:val="fr-FR"/>
              </w:rPr>
              <w:t>Approche combinée de l’action institutionnelle reconfirmée</w:t>
            </w:r>
          </w:p>
        </w:tc>
        <w:tc>
          <w:tcPr>
            <w:tcW w:w="2127" w:type="dxa"/>
          </w:tcPr>
          <w:p w14:paraId="4FD1E440" w14:textId="77777777" w:rsidR="00BE787F" w:rsidRPr="00BE787F" w:rsidRDefault="00BE787F" w:rsidP="002B2F9C">
            <w:pPr>
              <w:rPr>
                <w:lang w:val="fr-FR"/>
              </w:rPr>
            </w:pPr>
            <w:r w:rsidRPr="00BE787F">
              <w:rPr>
                <w:lang w:val="fr-FR"/>
              </w:rPr>
              <w:t xml:space="preserve">Janvier 2014 </w:t>
            </w:r>
          </w:p>
        </w:tc>
      </w:tr>
      <w:tr w:rsidR="00BE787F" w:rsidRPr="00BE787F" w14:paraId="00952CD1" w14:textId="77777777" w:rsidTr="00BE787F">
        <w:tc>
          <w:tcPr>
            <w:tcW w:w="6662" w:type="dxa"/>
          </w:tcPr>
          <w:p w14:paraId="0595E417" w14:textId="77777777" w:rsidR="00BE787F" w:rsidRPr="00BE787F" w:rsidRDefault="00BE787F" w:rsidP="002B2F9C">
            <w:pPr>
              <w:rPr>
                <w:lang w:val="fr-FR"/>
              </w:rPr>
            </w:pPr>
            <w:r w:rsidRPr="00BE787F">
              <w:rPr>
                <w:lang w:val="fr-FR"/>
              </w:rPr>
              <w:t>Examen des progrès sur l’action des institutions par le Comité directeur de l’IHP+</w:t>
            </w:r>
          </w:p>
        </w:tc>
        <w:tc>
          <w:tcPr>
            <w:tcW w:w="2127" w:type="dxa"/>
          </w:tcPr>
          <w:p w14:paraId="625BF69C" w14:textId="77777777" w:rsidR="00BE787F" w:rsidRDefault="00BE787F" w:rsidP="002B2F9C">
            <w:pPr>
              <w:rPr>
                <w:lang w:val="fr-FR"/>
              </w:rPr>
            </w:pPr>
          </w:p>
          <w:p w14:paraId="7D10979C" w14:textId="77777777" w:rsidR="00BE787F" w:rsidRPr="00BE787F" w:rsidRDefault="00BE787F" w:rsidP="002B2F9C">
            <w:pPr>
              <w:rPr>
                <w:lang w:val="fr-FR"/>
              </w:rPr>
            </w:pPr>
            <w:r w:rsidRPr="00BE787F">
              <w:rPr>
                <w:lang w:val="fr-FR"/>
              </w:rPr>
              <w:t>Deux fois par an</w:t>
            </w:r>
          </w:p>
        </w:tc>
      </w:tr>
    </w:tbl>
    <w:p w14:paraId="75E50C30" w14:textId="77777777" w:rsidR="00E83606" w:rsidRPr="00BB4B1A" w:rsidRDefault="00E83606" w:rsidP="00CA61D8">
      <w:pPr>
        <w:shd w:val="clear" w:color="auto" w:fill="FFFFFF" w:themeFill="background1"/>
        <w:spacing w:after="0"/>
        <w:ind w:left="360" w:firstLine="360"/>
        <w:rPr>
          <w:lang w:val="fr-FR"/>
        </w:rPr>
      </w:pPr>
    </w:p>
    <w:p w14:paraId="6F118B77" w14:textId="77777777" w:rsidR="00A26326" w:rsidRPr="00BB4B1A" w:rsidRDefault="003905DA" w:rsidP="00F83FC1">
      <w:pPr>
        <w:tabs>
          <w:tab w:val="left" w:pos="3119"/>
        </w:tabs>
        <w:ind w:left="360"/>
        <w:rPr>
          <w:sz w:val="24"/>
          <w:szCs w:val="24"/>
          <w:lang w:val="fr-FR"/>
        </w:rPr>
      </w:pPr>
      <w:r w:rsidRPr="00BB4B1A">
        <w:rPr>
          <w:b/>
          <w:sz w:val="24"/>
          <w:szCs w:val="24"/>
          <w:lang w:val="fr-FR"/>
        </w:rPr>
        <w:t xml:space="preserve">A.2 </w:t>
      </w:r>
      <w:r w:rsidR="00A26326" w:rsidRPr="00BB4B1A">
        <w:rPr>
          <w:b/>
          <w:sz w:val="24"/>
          <w:szCs w:val="24"/>
          <w:lang w:val="fr-FR"/>
        </w:rPr>
        <w:t>Intensifi</w:t>
      </w:r>
      <w:r w:rsidR="00A30431">
        <w:rPr>
          <w:b/>
          <w:sz w:val="24"/>
          <w:szCs w:val="24"/>
          <w:lang w:val="fr-FR"/>
        </w:rPr>
        <w:t xml:space="preserve">er </w:t>
      </w:r>
      <w:r w:rsidR="007E696A">
        <w:rPr>
          <w:b/>
          <w:sz w:val="24"/>
          <w:szCs w:val="24"/>
          <w:lang w:val="fr-FR"/>
        </w:rPr>
        <w:t xml:space="preserve">l’action et </w:t>
      </w:r>
      <w:r w:rsidR="00BE787F">
        <w:rPr>
          <w:b/>
          <w:sz w:val="24"/>
          <w:szCs w:val="24"/>
          <w:lang w:val="fr-FR"/>
        </w:rPr>
        <w:t>tirer l</w:t>
      </w:r>
      <w:r w:rsidR="00A30431">
        <w:rPr>
          <w:b/>
          <w:sz w:val="24"/>
          <w:szCs w:val="24"/>
          <w:lang w:val="fr-FR"/>
        </w:rPr>
        <w:t>es leçons sur les sept comportements dans des pays choisis</w:t>
      </w:r>
    </w:p>
    <w:p w14:paraId="0F204D8B" w14:textId="77777777" w:rsidR="00B369CF" w:rsidRPr="00BB4B1A" w:rsidRDefault="00B369CF" w:rsidP="003C4102">
      <w:pPr>
        <w:spacing w:after="0"/>
        <w:ind w:firstLine="720"/>
        <w:rPr>
          <w:i/>
          <w:lang w:val="fr-FR"/>
        </w:rPr>
      </w:pPr>
      <w:r w:rsidRPr="00BB4B1A">
        <w:rPr>
          <w:i/>
          <w:lang w:val="fr-FR"/>
        </w:rPr>
        <w:t>Acti</w:t>
      </w:r>
      <w:r w:rsidR="00762BE1">
        <w:rPr>
          <w:i/>
          <w:lang w:val="fr-FR"/>
        </w:rPr>
        <w:t>vités</w:t>
      </w:r>
      <w:r w:rsidR="00366CE1" w:rsidRPr="00BB4B1A">
        <w:rPr>
          <w:lang w:val="fr-FR"/>
        </w:rPr>
        <w:t xml:space="preserve"> </w:t>
      </w:r>
    </w:p>
    <w:p w14:paraId="654B83F8" w14:textId="77777777" w:rsidR="00634241" w:rsidRPr="00BB4B1A" w:rsidRDefault="00BE787F" w:rsidP="00634241">
      <w:pPr>
        <w:pStyle w:val="ListParagraph"/>
        <w:numPr>
          <w:ilvl w:val="0"/>
          <w:numId w:val="10"/>
        </w:numPr>
        <w:shd w:val="clear" w:color="auto" w:fill="FFFFFF" w:themeFill="background1"/>
        <w:spacing w:after="0"/>
        <w:rPr>
          <w:smallCaps/>
          <w:lang w:val="fr-FR"/>
        </w:rPr>
      </w:pPr>
      <w:r>
        <w:rPr>
          <w:lang w:val="fr-FR"/>
        </w:rPr>
        <w:t xml:space="preserve">Poursuite de la collaboration avec le </w:t>
      </w:r>
      <w:r w:rsidR="00374480">
        <w:rPr>
          <w:lang w:val="fr-FR"/>
        </w:rPr>
        <w:t xml:space="preserve">Sénégal, le Myanmar et la Sierra Leone, plus deux autres pays </w:t>
      </w:r>
      <w:r>
        <w:rPr>
          <w:lang w:val="fr-FR"/>
        </w:rPr>
        <w:t xml:space="preserve">souhaitant </w:t>
      </w:r>
      <w:r w:rsidR="00374480">
        <w:rPr>
          <w:lang w:val="fr-FR"/>
        </w:rPr>
        <w:t xml:space="preserve">intensifier l’action pour parvenir au changement dans les domaines prioritaires. Des examens nationaux identifient les problèmes, sélectionnent </w:t>
      </w:r>
      <w:r>
        <w:rPr>
          <w:lang w:val="fr-FR"/>
        </w:rPr>
        <w:t xml:space="preserve">ceux qui </w:t>
      </w:r>
      <w:r w:rsidR="00374480">
        <w:rPr>
          <w:lang w:val="fr-FR"/>
        </w:rPr>
        <w:t>p</w:t>
      </w:r>
      <w:r>
        <w:rPr>
          <w:lang w:val="fr-FR"/>
        </w:rPr>
        <w:t>e</w:t>
      </w:r>
      <w:r w:rsidR="00374480">
        <w:rPr>
          <w:lang w:val="fr-FR"/>
        </w:rPr>
        <w:t>uv</w:t>
      </w:r>
      <w:r>
        <w:rPr>
          <w:lang w:val="fr-FR"/>
        </w:rPr>
        <w:t>e</w:t>
      </w:r>
      <w:r w:rsidR="00374480">
        <w:rPr>
          <w:lang w:val="fr-FR"/>
        </w:rPr>
        <w:t>nt être corrigés localement et ceux qui nécessitent une action des partenaires du développement au niveau mondial.</w:t>
      </w:r>
      <w:r w:rsidR="00634241" w:rsidRPr="00BB4B1A">
        <w:rPr>
          <w:lang w:val="fr-FR"/>
        </w:rPr>
        <w:t xml:space="preserve"> </w:t>
      </w:r>
    </w:p>
    <w:p w14:paraId="1D129CF5" w14:textId="77777777" w:rsidR="000E0B9C" w:rsidRPr="00BB4B1A" w:rsidRDefault="00374480" w:rsidP="000E0B9C">
      <w:pPr>
        <w:pStyle w:val="ListParagraph"/>
        <w:numPr>
          <w:ilvl w:val="0"/>
          <w:numId w:val="10"/>
        </w:numPr>
        <w:shd w:val="clear" w:color="auto" w:fill="FFFFFF" w:themeFill="background1"/>
        <w:spacing w:after="0"/>
        <w:rPr>
          <w:smallCaps/>
          <w:lang w:val="fr-FR"/>
        </w:rPr>
      </w:pPr>
      <w:r>
        <w:rPr>
          <w:lang w:val="fr-FR"/>
        </w:rPr>
        <w:t>Le Comité directeur de l’</w:t>
      </w:r>
      <w:r w:rsidR="000E0B9C" w:rsidRPr="00BB4B1A">
        <w:rPr>
          <w:lang w:val="fr-FR"/>
        </w:rPr>
        <w:t xml:space="preserve">IHP+ </w:t>
      </w:r>
      <w:r>
        <w:rPr>
          <w:lang w:val="fr-FR"/>
        </w:rPr>
        <w:t>discute des approches destinées à renforcer le suivi des plans d’action nationaux et à garantir des liens avec l’action du siège central si nécessaire.</w:t>
      </w:r>
      <w:r w:rsidR="000E0B9C" w:rsidRPr="00BB4B1A">
        <w:rPr>
          <w:lang w:val="fr-FR"/>
        </w:rPr>
        <w:t xml:space="preserve"> </w:t>
      </w:r>
    </w:p>
    <w:p w14:paraId="6E1C3100" w14:textId="77777777" w:rsidR="000E0B9C" w:rsidRPr="00BB4B1A" w:rsidRDefault="00374480" w:rsidP="000E0B9C">
      <w:pPr>
        <w:pStyle w:val="ListParagraph"/>
        <w:numPr>
          <w:ilvl w:val="0"/>
          <w:numId w:val="10"/>
        </w:numPr>
        <w:shd w:val="clear" w:color="auto" w:fill="FFFFFF" w:themeFill="background1"/>
        <w:spacing w:after="0"/>
        <w:rPr>
          <w:smallCaps/>
          <w:lang w:val="fr-FR"/>
        </w:rPr>
      </w:pPr>
      <w:r>
        <w:rPr>
          <w:lang w:val="fr-FR"/>
        </w:rPr>
        <w:t>Une approche plus systématique de suivi est mise au point par l’Équipe de base avec des cibles et des calendriers ; document</w:t>
      </w:r>
      <w:r w:rsidR="00BE787F">
        <w:rPr>
          <w:lang w:val="fr-FR"/>
        </w:rPr>
        <w:t>ation</w:t>
      </w:r>
      <w:r>
        <w:rPr>
          <w:lang w:val="fr-FR"/>
        </w:rPr>
        <w:t xml:space="preserve"> des leçons apprises (liée au point C2 du plan de travail).</w:t>
      </w:r>
    </w:p>
    <w:p w14:paraId="4A90D093" w14:textId="77777777" w:rsidR="004D4D96" w:rsidRPr="00BB4B1A" w:rsidRDefault="00374480" w:rsidP="004D4D96">
      <w:pPr>
        <w:pStyle w:val="ListParagraph"/>
        <w:numPr>
          <w:ilvl w:val="0"/>
          <w:numId w:val="10"/>
        </w:numPr>
        <w:shd w:val="clear" w:color="auto" w:fill="FFFFFF" w:themeFill="background1"/>
        <w:spacing w:after="0"/>
        <w:rPr>
          <w:smallCaps/>
          <w:lang w:val="fr-FR"/>
        </w:rPr>
      </w:pPr>
      <w:r>
        <w:rPr>
          <w:lang w:val="fr-FR"/>
        </w:rPr>
        <w:t>Améliorer la communication sur l’approche au sein des institutions, par le biais du Comité directeur et du Groupe de référence.</w:t>
      </w:r>
      <w:r w:rsidR="00A30F4C" w:rsidRPr="00BB4B1A">
        <w:rPr>
          <w:lang w:val="fr-FR"/>
        </w:rPr>
        <w:t xml:space="preserve"> </w:t>
      </w:r>
    </w:p>
    <w:p w14:paraId="309E6FBE" w14:textId="77777777" w:rsidR="002F322F" w:rsidRPr="00BB4B1A" w:rsidRDefault="00374480" w:rsidP="002F322F">
      <w:pPr>
        <w:pStyle w:val="ListParagraph"/>
        <w:numPr>
          <w:ilvl w:val="0"/>
          <w:numId w:val="10"/>
        </w:numPr>
        <w:shd w:val="clear" w:color="auto" w:fill="FFFFFF" w:themeFill="background1"/>
        <w:spacing w:after="0"/>
        <w:rPr>
          <w:smallCaps/>
          <w:lang w:val="fr-FR"/>
        </w:rPr>
      </w:pPr>
      <w:r>
        <w:rPr>
          <w:lang w:val="fr-FR"/>
        </w:rPr>
        <w:t>Mise au point de matériel de communication amélioré sur l’approche globale.</w:t>
      </w:r>
    </w:p>
    <w:p w14:paraId="4931ABC8" w14:textId="77777777" w:rsidR="005C73AC" w:rsidRPr="00BB4B1A" w:rsidRDefault="00374480" w:rsidP="005C73AC">
      <w:pPr>
        <w:shd w:val="clear" w:color="auto" w:fill="FFFFFF" w:themeFill="background1"/>
        <w:spacing w:after="0"/>
        <w:ind w:left="360" w:firstLine="360"/>
        <w:rPr>
          <w:i/>
          <w:lang w:val="fr-FR"/>
        </w:rPr>
      </w:pPr>
      <w:r>
        <w:rPr>
          <w:i/>
          <w:lang w:val="fr-FR"/>
        </w:rPr>
        <w:t>Repères</w:t>
      </w:r>
    </w:p>
    <w:tbl>
      <w:tblPr>
        <w:tblStyle w:val="TableGri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551"/>
      </w:tblGrid>
      <w:tr w:rsidR="00BE787F" w:rsidRPr="00BE787F" w14:paraId="236DE0F0" w14:textId="77777777" w:rsidTr="00BE787F">
        <w:tc>
          <w:tcPr>
            <w:tcW w:w="6379" w:type="dxa"/>
          </w:tcPr>
          <w:p w14:paraId="1197F6BE" w14:textId="77777777" w:rsidR="00BE787F" w:rsidRPr="00BE787F" w:rsidRDefault="00BE787F" w:rsidP="00C13841">
            <w:pPr>
              <w:rPr>
                <w:lang w:val="fr-FR"/>
              </w:rPr>
            </w:pPr>
            <w:r w:rsidRPr="00BE787F">
              <w:rPr>
                <w:lang w:val="fr-FR"/>
              </w:rPr>
              <w:t xml:space="preserve">Approche modifiée du suivi mise en œuvre </w:t>
            </w:r>
          </w:p>
        </w:tc>
        <w:tc>
          <w:tcPr>
            <w:tcW w:w="2551" w:type="dxa"/>
          </w:tcPr>
          <w:p w14:paraId="0DE19DC2" w14:textId="77777777" w:rsidR="00BE787F" w:rsidRPr="00BE787F" w:rsidRDefault="00BE787F" w:rsidP="00C13841">
            <w:pPr>
              <w:rPr>
                <w:lang w:val="fr-FR"/>
              </w:rPr>
            </w:pPr>
            <w:r w:rsidRPr="00BE787F">
              <w:rPr>
                <w:lang w:val="fr-FR"/>
              </w:rPr>
              <w:t xml:space="preserve">Premier trimestre 2014 </w:t>
            </w:r>
          </w:p>
        </w:tc>
      </w:tr>
      <w:tr w:rsidR="00BE787F" w:rsidRPr="00BE787F" w14:paraId="6BA81707" w14:textId="77777777" w:rsidTr="00BE787F">
        <w:tc>
          <w:tcPr>
            <w:tcW w:w="6379" w:type="dxa"/>
          </w:tcPr>
          <w:p w14:paraId="495B1946" w14:textId="77777777" w:rsidR="00BE787F" w:rsidRPr="00BE787F" w:rsidRDefault="00BE787F" w:rsidP="00C13841">
            <w:pPr>
              <w:rPr>
                <w:lang w:val="fr-FR"/>
              </w:rPr>
            </w:pPr>
            <w:r w:rsidRPr="00BE787F">
              <w:rPr>
                <w:lang w:val="fr-FR"/>
              </w:rPr>
              <w:t>Points à aborder aux niveaux national et mondial identifiés</w:t>
            </w:r>
          </w:p>
        </w:tc>
        <w:tc>
          <w:tcPr>
            <w:tcW w:w="2551" w:type="dxa"/>
          </w:tcPr>
          <w:p w14:paraId="46E57436" w14:textId="77777777" w:rsidR="00BE787F" w:rsidRPr="00BE787F" w:rsidRDefault="00BE787F" w:rsidP="00C13841">
            <w:pPr>
              <w:rPr>
                <w:lang w:val="fr-FR"/>
              </w:rPr>
            </w:pPr>
            <w:r w:rsidRPr="00BE787F">
              <w:rPr>
                <w:lang w:val="fr-FR"/>
              </w:rPr>
              <w:t>Premier semestre 2014</w:t>
            </w:r>
          </w:p>
        </w:tc>
      </w:tr>
      <w:tr w:rsidR="00BE787F" w:rsidRPr="00BE787F" w14:paraId="31ED8304" w14:textId="77777777" w:rsidTr="00BE787F">
        <w:tc>
          <w:tcPr>
            <w:tcW w:w="6379" w:type="dxa"/>
          </w:tcPr>
          <w:p w14:paraId="2A885876" w14:textId="77777777" w:rsidR="00BE787F" w:rsidRPr="00BE787F" w:rsidRDefault="00BE787F" w:rsidP="00C13841">
            <w:pPr>
              <w:rPr>
                <w:lang w:val="fr-FR"/>
              </w:rPr>
            </w:pPr>
            <w:r w:rsidRPr="00BE787F">
              <w:rPr>
                <w:lang w:val="fr-FR"/>
              </w:rPr>
              <w:t>Examen des progrès sur l’action nationale par le Comité directeur</w:t>
            </w:r>
          </w:p>
        </w:tc>
        <w:tc>
          <w:tcPr>
            <w:tcW w:w="2551" w:type="dxa"/>
          </w:tcPr>
          <w:p w14:paraId="4BB67684" w14:textId="77777777" w:rsidR="00BE787F" w:rsidRPr="00BE787F" w:rsidRDefault="00BE787F" w:rsidP="00CE3BC5">
            <w:pPr>
              <w:rPr>
                <w:lang w:val="fr-FR"/>
              </w:rPr>
            </w:pPr>
            <w:r w:rsidRPr="00BE787F">
              <w:rPr>
                <w:lang w:val="fr-FR"/>
              </w:rPr>
              <w:t>Deux fois par an</w:t>
            </w:r>
          </w:p>
        </w:tc>
      </w:tr>
    </w:tbl>
    <w:p w14:paraId="7FC7FADA" w14:textId="77777777" w:rsidR="003150E6" w:rsidRPr="00BB4B1A" w:rsidRDefault="003150E6" w:rsidP="003150E6">
      <w:pPr>
        <w:shd w:val="clear" w:color="auto" w:fill="FFFFFF" w:themeFill="background1"/>
        <w:spacing w:after="0"/>
        <w:ind w:left="360"/>
        <w:rPr>
          <w:lang w:val="fr-FR"/>
        </w:rPr>
      </w:pPr>
    </w:p>
    <w:p w14:paraId="35EF8B8F" w14:textId="77777777" w:rsidR="003150E6" w:rsidRPr="00BB4B1A" w:rsidRDefault="003905DA" w:rsidP="003150E6">
      <w:pPr>
        <w:shd w:val="clear" w:color="auto" w:fill="FFFFFF" w:themeFill="background1"/>
        <w:spacing w:after="0"/>
        <w:ind w:left="360"/>
        <w:rPr>
          <w:b/>
          <w:sz w:val="24"/>
          <w:szCs w:val="24"/>
          <w:lang w:val="fr-FR"/>
        </w:rPr>
      </w:pPr>
      <w:r w:rsidRPr="00BB4B1A">
        <w:rPr>
          <w:b/>
          <w:sz w:val="24"/>
          <w:szCs w:val="24"/>
          <w:lang w:val="fr-FR"/>
        </w:rPr>
        <w:t>A.</w:t>
      </w:r>
      <w:r w:rsidR="003150E6" w:rsidRPr="00BB4B1A">
        <w:rPr>
          <w:b/>
          <w:sz w:val="24"/>
          <w:szCs w:val="24"/>
          <w:lang w:val="fr-FR"/>
        </w:rPr>
        <w:t xml:space="preserve">3 </w:t>
      </w:r>
      <w:r w:rsidR="00374480">
        <w:rPr>
          <w:b/>
          <w:sz w:val="24"/>
          <w:szCs w:val="24"/>
          <w:lang w:val="fr-FR"/>
        </w:rPr>
        <w:t>Tendances mondiales d</w:t>
      </w:r>
      <w:r w:rsidR="00BE787F">
        <w:rPr>
          <w:b/>
          <w:sz w:val="24"/>
          <w:szCs w:val="24"/>
          <w:lang w:val="fr-FR"/>
        </w:rPr>
        <w:t xml:space="preserve">e </w:t>
      </w:r>
      <w:r w:rsidR="00374480">
        <w:rPr>
          <w:b/>
          <w:sz w:val="24"/>
          <w:szCs w:val="24"/>
          <w:lang w:val="fr-FR"/>
        </w:rPr>
        <w:t>la coopération au développement dans le secteur de la santé, place de l’IHP+</w:t>
      </w:r>
    </w:p>
    <w:p w14:paraId="41C9CB49" w14:textId="77777777" w:rsidR="00AB614F" w:rsidRPr="00BB4B1A" w:rsidRDefault="00AB614F" w:rsidP="00A4588C">
      <w:pPr>
        <w:shd w:val="clear" w:color="auto" w:fill="FFFFFF" w:themeFill="background1"/>
        <w:spacing w:after="0"/>
        <w:ind w:firstLine="360"/>
        <w:rPr>
          <w:lang w:val="fr-FR"/>
        </w:rPr>
      </w:pPr>
      <w:bookmarkStart w:id="0" w:name="_GoBack"/>
      <w:bookmarkEnd w:id="0"/>
    </w:p>
    <w:p w14:paraId="75887D4B" w14:textId="77777777" w:rsidR="003150E6" w:rsidRPr="00BB4B1A" w:rsidRDefault="003150E6" w:rsidP="00A4588C">
      <w:pPr>
        <w:shd w:val="clear" w:color="auto" w:fill="FFFFFF" w:themeFill="background1"/>
        <w:spacing w:after="0"/>
        <w:ind w:firstLine="360"/>
        <w:rPr>
          <w:i/>
          <w:lang w:val="fr-FR"/>
        </w:rPr>
      </w:pPr>
      <w:r w:rsidRPr="00BB4B1A">
        <w:rPr>
          <w:i/>
          <w:lang w:val="fr-FR"/>
        </w:rPr>
        <w:tab/>
        <w:t>Acti</w:t>
      </w:r>
      <w:r w:rsidR="00762BE1">
        <w:rPr>
          <w:i/>
          <w:lang w:val="fr-FR"/>
        </w:rPr>
        <w:t>vités</w:t>
      </w:r>
      <w:r w:rsidRPr="00BB4B1A">
        <w:rPr>
          <w:i/>
          <w:lang w:val="fr-FR"/>
        </w:rPr>
        <w:t xml:space="preserve"> </w:t>
      </w:r>
    </w:p>
    <w:p w14:paraId="103B94EB" w14:textId="77777777" w:rsidR="003150E6" w:rsidRPr="00BB4B1A" w:rsidRDefault="003150E6" w:rsidP="003150E6">
      <w:pPr>
        <w:pStyle w:val="ListParagraph"/>
        <w:numPr>
          <w:ilvl w:val="0"/>
          <w:numId w:val="34"/>
        </w:numPr>
        <w:shd w:val="clear" w:color="auto" w:fill="FFFFFF" w:themeFill="background1"/>
        <w:spacing w:after="0"/>
        <w:rPr>
          <w:lang w:val="fr-FR"/>
        </w:rPr>
      </w:pPr>
      <w:r w:rsidRPr="00BB4B1A">
        <w:rPr>
          <w:lang w:val="fr-FR"/>
        </w:rPr>
        <w:t>Pr</w:t>
      </w:r>
      <w:r w:rsidR="00BE787F">
        <w:rPr>
          <w:lang w:val="fr-FR"/>
        </w:rPr>
        <w:t xml:space="preserve">ésenter </w:t>
      </w:r>
      <w:r w:rsidR="004E2EAA">
        <w:rPr>
          <w:lang w:val="fr-FR"/>
        </w:rPr>
        <w:t>la santé comme exemple de coopération au développement dans les réunions internationales pertinentes.</w:t>
      </w:r>
      <w:r w:rsidR="00301BCE" w:rsidRPr="00BB4B1A">
        <w:rPr>
          <w:lang w:val="fr-FR"/>
        </w:rPr>
        <w:t xml:space="preserve"> </w:t>
      </w:r>
    </w:p>
    <w:p w14:paraId="58CCB9C9" w14:textId="77777777" w:rsidR="003150E6" w:rsidRPr="00BB4B1A" w:rsidRDefault="00762BE1" w:rsidP="003150E6">
      <w:pPr>
        <w:pStyle w:val="ListParagraph"/>
        <w:numPr>
          <w:ilvl w:val="0"/>
          <w:numId w:val="34"/>
        </w:numPr>
        <w:shd w:val="clear" w:color="auto" w:fill="FFFFFF" w:themeFill="background1"/>
        <w:spacing w:after="0"/>
        <w:rPr>
          <w:lang w:val="fr-FR"/>
        </w:rPr>
      </w:pPr>
      <w:r>
        <w:rPr>
          <w:lang w:val="fr-FR"/>
        </w:rPr>
        <w:t>Examen mondial actualisé des tendances d</w:t>
      </w:r>
      <w:r w:rsidR="00BE787F">
        <w:rPr>
          <w:lang w:val="fr-FR"/>
        </w:rPr>
        <w:t>ans le</w:t>
      </w:r>
      <w:r>
        <w:rPr>
          <w:lang w:val="fr-FR"/>
        </w:rPr>
        <w:t xml:space="preserve"> nombre et la nature des nouvelles initiatives mondiales de santé et leurs conséquences pour les pays, en collaboration avec le Comité d’aide au développement de l’OCDE.</w:t>
      </w:r>
    </w:p>
    <w:p w14:paraId="4100399F" w14:textId="77777777" w:rsidR="003150E6" w:rsidRPr="00BB4B1A" w:rsidRDefault="00762BE1" w:rsidP="003150E6">
      <w:pPr>
        <w:pStyle w:val="ListParagraph"/>
        <w:numPr>
          <w:ilvl w:val="0"/>
          <w:numId w:val="34"/>
        </w:numPr>
        <w:shd w:val="clear" w:color="auto" w:fill="FFFFFF" w:themeFill="background1"/>
        <w:spacing w:after="0"/>
        <w:rPr>
          <w:lang w:val="fr-FR"/>
        </w:rPr>
      </w:pPr>
      <w:r>
        <w:rPr>
          <w:lang w:val="fr-FR"/>
        </w:rPr>
        <w:t>Commentaires indépendants sur des thèmes d’actualité choisis en matière de coopération au développement dans l</w:t>
      </w:r>
      <w:r w:rsidR="00BE787F">
        <w:rPr>
          <w:lang w:val="fr-FR"/>
        </w:rPr>
        <w:t>e secteur de l</w:t>
      </w:r>
      <w:r>
        <w:rPr>
          <w:lang w:val="fr-FR"/>
        </w:rPr>
        <w:t>a santé, par le biais des médias électroniques.</w:t>
      </w:r>
    </w:p>
    <w:p w14:paraId="40AF6E4A" w14:textId="77777777" w:rsidR="00301BCE" w:rsidRPr="00BB4B1A" w:rsidRDefault="00762BE1" w:rsidP="003150E6">
      <w:pPr>
        <w:pStyle w:val="ListParagraph"/>
        <w:numPr>
          <w:ilvl w:val="0"/>
          <w:numId w:val="34"/>
        </w:numPr>
        <w:shd w:val="clear" w:color="auto" w:fill="FFFFFF" w:themeFill="background1"/>
        <w:spacing w:after="0"/>
        <w:rPr>
          <w:lang w:val="fr-FR"/>
        </w:rPr>
      </w:pPr>
      <w:r>
        <w:rPr>
          <w:lang w:val="fr-FR"/>
        </w:rPr>
        <w:t xml:space="preserve">Préciser la place de l’IHP+ dans le programme de l’après-2015, et dans la structure </w:t>
      </w:r>
      <w:r w:rsidR="00BE787F">
        <w:rPr>
          <w:lang w:val="fr-FR"/>
        </w:rPr>
        <w:t xml:space="preserve">évolutive de </w:t>
      </w:r>
      <w:r>
        <w:rPr>
          <w:lang w:val="fr-FR"/>
        </w:rPr>
        <w:t>l’assistance.</w:t>
      </w:r>
      <w:r w:rsidR="00DA3DA4" w:rsidRPr="00BB4B1A">
        <w:rPr>
          <w:lang w:val="fr-FR"/>
        </w:rPr>
        <w:t xml:space="preserve"> </w:t>
      </w:r>
    </w:p>
    <w:p w14:paraId="2526EB72" w14:textId="77777777" w:rsidR="003150E6" w:rsidRPr="00BB4B1A" w:rsidRDefault="003150E6" w:rsidP="003150E6">
      <w:pPr>
        <w:shd w:val="clear" w:color="auto" w:fill="FFFFFF" w:themeFill="background1"/>
        <w:spacing w:after="0"/>
        <w:rPr>
          <w:i/>
          <w:lang w:val="fr-FR"/>
        </w:rPr>
      </w:pPr>
      <w:r w:rsidRPr="00BB4B1A">
        <w:rPr>
          <w:i/>
          <w:lang w:val="fr-FR"/>
        </w:rPr>
        <w:tab/>
      </w:r>
      <w:r w:rsidR="00762BE1">
        <w:rPr>
          <w:i/>
          <w:lang w:val="fr-FR"/>
        </w:rPr>
        <w:t>Repères</w:t>
      </w:r>
    </w:p>
    <w:tbl>
      <w:tblPr>
        <w:tblStyle w:val="TableGrid"/>
        <w:tblW w:w="90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A012F5" w:rsidRPr="00A012F5" w14:paraId="49201AFB" w14:textId="77777777" w:rsidTr="00A012F5">
        <w:tc>
          <w:tcPr>
            <w:tcW w:w="7088" w:type="dxa"/>
          </w:tcPr>
          <w:p w14:paraId="612330BB" w14:textId="77777777" w:rsidR="00A012F5" w:rsidRPr="00A012F5" w:rsidRDefault="00A012F5" w:rsidP="00780B9F">
            <w:pPr>
              <w:rPr>
                <w:lang w:val="fr-FR"/>
              </w:rPr>
            </w:pPr>
            <w:r w:rsidRPr="00A012F5">
              <w:rPr>
                <w:lang w:val="fr-FR"/>
              </w:rPr>
              <w:t>Réunion du Partenariat mondial pour une coopération efficace au service du développement, Mexico (l’IHP+ y contribuera avec l’expérience sectorielle)</w:t>
            </w:r>
          </w:p>
        </w:tc>
        <w:tc>
          <w:tcPr>
            <w:tcW w:w="1984" w:type="dxa"/>
          </w:tcPr>
          <w:p w14:paraId="1E11583E" w14:textId="77777777" w:rsidR="00A012F5" w:rsidRDefault="00A012F5" w:rsidP="00780B9F">
            <w:pPr>
              <w:rPr>
                <w:lang w:val="fr-FR"/>
              </w:rPr>
            </w:pPr>
          </w:p>
          <w:p w14:paraId="1A7301FE" w14:textId="77777777" w:rsidR="00A012F5" w:rsidRPr="00A012F5" w:rsidRDefault="00A012F5" w:rsidP="00780B9F">
            <w:pPr>
              <w:rPr>
                <w:lang w:val="fr-FR"/>
              </w:rPr>
            </w:pPr>
            <w:r w:rsidRPr="00A012F5">
              <w:rPr>
                <w:lang w:val="fr-FR"/>
              </w:rPr>
              <w:t xml:space="preserve">15-16 avril 2014 </w:t>
            </w:r>
          </w:p>
        </w:tc>
      </w:tr>
      <w:tr w:rsidR="00A012F5" w:rsidRPr="00A012F5" w14:paraId="5DAFBFBC" w14:textId="77777777" w:rsidTr="00A012F5">
        <w:tc>
          <w:tcPr>
            <w:tcW w:w="7088" w:type="dxa"/>
          </w:tcPr>
          <w:p w14:paraId="6FB7E161" w14:textId="77777777" w:rsidR="00A012F5" w:rsidRPr="00A012F5" w:rsidRDefault="00A012F5" w:rsidP="00A012F5">
            <w:pPr>
              <w:rPr>
                <w:lang w:val="fr-FR"/>
              </w:rPr>
            </w:pPr>
            <w:r w:rsidRPr="00A012F5">
              <w:rPr>
                <w:lang w:val="fr-FR"/>
              </w:rPr>
              <w:t>Examen des tendances d</w:t>
            </w:r>
            <w:r>
              <w:rPr>
                <w:lang w:val="fr-FR"/>
              </w:rPr>
              <w:t>e</w:t>
            </w:r>
            <w:r w:rsidRPr="00A012F5">
              <w:rPr>
                <w:lang w:val="fr-FR"/>
              </w:rPr>
              <w:t>s nouvelles initiatives mondiales de santé</w:t>
            </w:r>
          </w:p>
        </w:tc>
        <w:tc>
          <w:tcPr>
            <w:tcW w:w="1984" w:type="dxa"/>
          </w:tcPr>
          <w:p w14:paraId="7C4E2A0A" w14:textId="77777777" w:rsidR="00A012F5" w:rsidRPr="00A012F5" w:rsidRDefault="00A012F5" w:rsidP="00780B9F">
            <w:pPr>
              <w:rPr>
                <w:lang w:val="fr-FR"/>
              </w:rPr>
            </w:pPr>
            <w:r w:rsidRPr="00A012F5">
              <w:rPr>
                <w:lang w:val="fr-FR"/>
              </w:rPr>
              <w:t>3</w:t>
            </w:r>
            <w:r w:rsidRPr="00A012F5">
              <w:rPr>
                <w:vertAlign w:val="superscript"/>
                <w:lang w:val="fr-FR"/>
              </w:rPr>
              <w:t>e</w:t>
            </w:r>
            <w:r w:rsidRPr="00A012F5">
              <w:rPr>
                <w:lang w:val="fr-FR"/>
              </w:rPr>
              <w:t xml:space="preserve"> trimestre 2014</w:t>
            </w:r>
          </w:p>
        </w:tc>
      </w:tr>
      <w:tr w:rsidR="00A012F5" w:rsidRPr="00A012F5" w14:paraId="575AD8FE" w14:textId="77777777" w:rsidTr="00A012F5">
        <w:tc>
          <w:tcPr>
            <w:tcW w:w="7088" w:type="dxa"/>
          </w:tcPr>
          <w:p w14:paraId="3A5B841C" w14:textId="77777777" w:rsidR="00A012F5" w:rsidRPr="00717705" w:rsidRDefault="00A012F5" w:rsidP="00780B9F">
            <w:pPr>
              <w:rPr>
                <w:lang w:val="fr-FR"/>
              </w:rPr>
            </w:pPr>
            <w:r w:rsidRPr="00717705">
              <w:rPr>
                <w:lang w:val="fr-FR"/>
              </w:rPr>
              <w:t>Discussion de l’IHP+ et du programme de l’après-2015</w:t>
            </w:r>
          </w:p>
        </w:tc>
        <w:tc>
          <w:tcPr>
            <w:tcW w:w="1984" w:type="dxa"/>
          </w:tcPr>
          <w:p w14:paraId="63E806D4" w14:textId="77777777" w:rsidR="00A012F5" w:rsidRPr="00717705" w:rsidRDefault="00A012F5" w:rsidP="00780B9F">
            <w:pPr>
              <w:rPr>
                <w:lang w:val="fr-FR"/>
              </w:rPr>
            </w:pPr>
            <w:r w:rsidRPr="00717705">
              <w:rPr>
                <w:lang w:val="fr-FR"/>
              </w:rPr>
              <w:t>4</w:t>
            </w:r>
            <w:r w:rsidRPr="00717705">
              <w:rPr>
                <w:vertAlign w:val="superscript"/>
                <w:lang w:val="fr-FR"/>
              </w:rPr>
              <w:t>e</w:t>
            </w:r>
            <w:r w:rsidRPr="00717705">
              <w:rPr>
                <w:lang w:val="fr-FR"/>
              </w:rPr>
              <w:t xml:space="preserve"> trimestre 2014 (CHMT)</w:t>
            </w:r>
          </w:p>
        </w:tc>
      </w:tr>
    </w:tbl>
    <w:p w14:paraId="53436A47" w14:textId="77777777" w:rsidR="003150E6" w:rsidRPr="00BB4B1A" w:rsidRDefault="003150E6" w:rsidP="003150E6">
      <w:pPr>
        <w:shd w:val="clear" w:color="auto" w:fill="FFFFFF" w:themeFill="background1"/>
        <w:spacing w:after="0"/>
        <w:rPr>
          <w:lang w:val="fr-FR"/>
        </w:rPr>
      </w:pPr>
    </w:p>
    <w:p w14:paraId="5C51161C" w14:textId="77777777" w:rsidR="000510A5" w:rsidRPr="00BB4B1A" w:rsidRDefault="00EE3DDE" w:rsidP="004E1096">
      <w:pPr>
        <w:pStyle w:val="ListParagraph"/>
        <w:numPr>
          <w:ilvl w:val="0"/>
          <w:numId w:val="20"/>
        </w:numPr>
        <w:shd w:val="clear" w:color="auto" w:fill="FFFFFF" w:themeFill="background1"/>
        <w:spacing w:after="0"/>
        <w:rPr>
          <w:b/>
          <w:i/>
          <w:smallCaps/>
          <w:sz w:val="28"/>
          <w:szCs w:val="28"/>
          <w:lang w:val="fr-FR"/>
        </w:rPr>
      </w:pPr>
      <w:r w:rsidRPr="00BB4B1A">
        <w:rPr>
          <w:b/>
          <w:i/>
          <w:smallCaps/>
          <w:sz w:val="28"/>
          <w:szCs w:val="28"/>
          <w:lang w:val="fr-FR"/>
        </w:rPr>
        <w:lastRenderedPageBreak/>
        <w:t>Approches</w:t>
      </w:r>
      <w:r w:rsidR="00762BE1">
        <w:rPr>
          <w:b/>
          <w:i/>
          <w:smallCaps/>
          <w:sz w:val="28"/>
          <w:szCs w:val="28"/>
          <w:lang w:val="fr-FR"/>
        </w:rPr>
        <w:t xml:space="preserve"> et outils</w:t>
      </w:r>
    </w:p>
    <w:p w14:paraId="2DCA14BA" w14:textId="77777777" w:rsidR="004E1096" w:rsidRPr="00BB4B1A" w:rsidRDefault="004E1096" w:rsidP="004E1096">
      <w:pPr>
        <w:shd w:val="clear" w:color="auto" w:fill="FFFFFF" w:themeFill="background1"/>
        <w:spacing w:after="0"/>
        <w:rPr>
          <w:i/>
          <w:sz w:val="28"/>
          <w:szCs w:val="28"/>
          <w:lang w:val="fr-FR"/>
        </w:rPr>
      </w:pPr>
    </w:p>
    <w:p w14:paraId="3C89F445" w14:textId="77777777" w:rsidR="00FB514D" w:rsidRPr="00BB4B1A" w:rsidRDefault="003905DA" w:rsidP="00AB614F">
      <w:pPr>
        <w:ind w:left="357"/>
        <w:rPr>
          <w:b/>
          <w:sz w:val="24"/>
          <w:szCs w:val="24"/>
          <w:lang w:val="fr-FR"/>
        </w:rPr>
      </w:pPr>
      <w:r w:rsidRPr="00BB4B1A">
        <w:rPr>
          <w:b/>
          <w:sz w:val="24"/>
          <w:szCs w:val="24"/>
          <w:lang w:val="fr-FR"/>
        </w:rPr>
        <w:t>B.</w:t>
      </w:r>
      <w:r w:rsidR="00C553C6" w:rsidRPr="00BB4B1A">
        <w:rPr>
          <w:b/>
          <w:sz w:val="24"/>
          <w:szCs w:val="24"/>
          <w:lang w:val="fr-FR"/>
        </w:rPr>
        <w:t xml:space="preserve">1. </w:t>
      </w:r>
      <w:r w:rsidR="00FB514D" w:rsidRPr="00BB4B1A">
        <w:rPr>
          <w:b/>
          <w:sz w:val="24"/>
          <w:szCs w:val="24"/>
          <w:lang w:val="fr-FR"/>
        </w:rPr>
        <w:t xml:space="preserve">Approches </w:t>
      </w:r>
      <w:r w:rsidR="00762BE1">
        <w:rPr>
          <w:b/>
          <w:sz w:val="24"/>
          <w:szCs w:val="24"/>
          <w:lang w:val="fr-FR"/>
        </w:rPr>
        <w:t xml:space="preserve">nécessitant </w:t>
      </w:r>
      <w:r w:rsidR="00E56DA0">
        <w:rPr>
          <w:b/>
          <w:sz w:val="24"/>
          <w:szCs w:val="24"/>
          <w:lang w:val="fr-FR"/>
        </w:rPr>
        <w:t>une intensification des activités</w:t>
      </w:r>
    </w:p>
    <w:p w14:paraId="136CC699" w14:textId="77777777" w:rsidR="007917A3" w:rsidRPr="00BB4B1A" w:rsidRDefault="003905DA" w:rsidP="00DE28F5">
      <w:pPr>
        <w:spacing w:after="0"/>
        <w:ind w:left="357"/>
        <w:rPr>
          <w:rFonts w:ascii="Calibri" w:eastAsia="Times New Roman" w:hAnsi="Calibri" w:cs="Times New Roman"/>
          <w:b/>
          <w:i/>
          <w:lang w:val="fr-FR" w:eastAsia="en-GB"/>
        </w:rPr>
      </w:pPr>
      <w:r w:rsidRPr="00BB4B1A">
        <w:rPr>
          <w:rFonts w:ascii="Calibri" w:eastAsia="Times New Roman" w:hAnsi="Calibri" w:cs="Times New Roman"/>
          <w:b/>
          <w:i/>
          <w:lang w:val="fr-FR" w:eastAsia="en-GB"/>
        </w:rPr>
        <w:t>B.</w:t>
      </w:r>
      <w:r w:rsidR="00C553C6" w:rsidRPr="00BB4B1A">
        <w:rPr>
          <w:rFonts w:ascii="Calibri" w:eastAsia="Times New Roman" w:hAnsi="Calibri" w:cs="Times New Roman"/>
          <w:b/>
          <w:i/>
          <w:lang w:val="fr-FR" w:eastAsia="en-GB"/>
        </w:rPr>
        <w:t>1.1</w:t>
      </w:r>
      <w:r w:rsidR="00AB614F" w:rsidRPr="00BB4B1A">
        <w:rPr>
          <w:rFonts w:ascii="Calibri" w:eastAsia="Times New Roman" w:hAnsi="Calibri" w:cs="Times New Roman"/>
          <w:b/>
          <w:i/>
          <w:lang w:val="fr-FR" w:eastAsia="en-GB"/>
        </w:rPr>
        <w:t xml:space="preserve"> </w:t>
      </w:r>
      <w:r w:rsidR="00762BE1">
        <w:rPr>
          <w:rFonts w:ascii="Calibri" w:eastAsia="Times New Roman" w:hAnsi="Calibri" w:cs="Times New Roman"/>
          <w:b/>
          <w:i/>
          <w:lang w:val="fr-FR" w:eastAsia="en-GB"/>
        </w:rPr>
        <w:t xml:space="preserve">Plateforme nationale unique </w:t>
      </w:r>
      <w:r w:rsidR="00E56DA0">
        <w:rPr>
          <w:rFonts w:ascii="Calibri" w:eastAsia="Times New Roman" w:hAnsi="Calibri" w:cs="Times New Roman"/>
          <w:b/>
          <w:i/>
          <w:lang w:val="fr-FR" w:eastAsia="en-GB"/>
        </w:rPr>
        <w:t>de</w:t>
      </w:r>
      <w:r w:rsidR="00762BE1">
        <w:rPr>
          <w:rFonts w:ascii="Calibri" w:eastAsia="Times New Roman" w:hAnsi="Calibri" w:cs="Times New Roman"/>
          <w:b/>
          <w:i/>
          <w:lang w:val="fr-FR" w:eastAsia="en-GB"/>
        </w:rPr>
        <w:t xml:space="preserve"> suivi et </w:t>
      </w:r>
      <w:r w:rsidR="00E56DA0">
        <w:rPr>
          <w:rFonts w:ascii="Calibri" w:eastAsia="Times New Roman" w:hAnsi="Calibri" w:cs="Times New Roman"/>
          <w:b/>
          <w:i/>
          <w:lang w:val="fr-FR" w:eastAsia="en-GB"/>
        </w:rPr>
        <w:t>redevabilité</w:t>
      </w:r>
    </w:p>
    <w:p w14:paraId="4F0B92A7" w14:textId="77777777" w:rsidR="00DE28F5" w:rsidRPr="00BB4B1A" w:rsidRDefault="00DE28F5" w:rsidP="00BA67CE">
      <w:pPr>
        <w:spacing w:after="0"/>
        <w:ind w:left="357" w:firstLine="357"/>
        <w:rPr>
          <w:lang w:val="fr-FR"/>
        </w:rPr>
      </w:pPr>
    </w:p>
    <w:p w14:paraId="0A05FDEB" w14:textId="77777777" w:rsidR="00DE28F5" w:rsidRPr="00BB4B1A" w:rsidRDefault="00DE28F5" w:rsidP="00DE28F5">
      <w:pPr>
        <w:spacing w:after="0"/>
        <w:ind w:left="357" w:firstLine="357"/>
        <w:rPr>
          <w:i/>
          <w:lang w:val="fr-FR"/>
        </w:rPr>
      </w:pPr>
      <w:r w:rsidRPr="00BB4B1A">
        <w:rPr>
          <w:i/>
          <w:lang w:val="fr-FR"/>
        </w:rPr>
        <w:t>Acti</w:t>
      </w:r>
      <w:r w:rsidR="00762BE1">
        <w:rPr>
          <w:i/>
          <w:lang w:val="fr-FR"/>
        </w:rPr>
        <w:t>vités</w:t>
      </w:r>
    </w:p>
    <w:p w14:paraId="22EACD68" w14:textId="77777777" w:rsidR="00C372D2" w:rsidRPr="00BB4B1A" w:rsidRDefault="00762BE1" w:rsidP="00284E7D">
      <w:pPr>
        <w:spacing w:after="0"/>
        <w:ind w:left="714"/>
        <w:rPr>
          <w:lang w:val="fr-FR"/>
        </w:rPr>
      </w:pPr>
      <w:r>
        <w:rPr>
          <w:lang w:val="fr-FR"/>
        </w:rPr>
        <w:t xml:space="preserve">Les activités renforceront d’autres initiatives, y compris celles de la </w:t>
      </w:r>
      <w:r w:rsidRPr="00762BE1">
        <w:rPr>
          <w:lang w:val="fr-FR"/>
        </w:rPr>
        <w:t xml:space="preserve">Commission de l'information et de la redevabilité pour la santé de la femme et de l'enfant </w:t>
      </w:r>
      <w:r>
        <w:rPr>
          <w:lang w:val="fr-FR"/>
        </w:rPr>
        <w:t xml:space="preserve">et </w:t>
      </w:r>
      <w:r w:rsidR="0017302C">
        <w:rPr>
          <w:lang w:val="fr-FR"/>
        </w:rPr>
        <w:t>l’</w:t>
      </w:r>
      <w:r>
        <w:rPr>
          <w:lang w:val="fr-FR"/>
        </w:rPr>
        <w:t>action collectives de 19 institutions de développement pour harmoniser les exigences des institutions en matière d’établissement des rapports.</w:t>
      </w:r>
    </w:p>
    <w:p w14:paraId="24D6C8A1" w14:textId="77777777" w:rsidR="00C372D2" w:rsidRPr="00BB4B1A" w:rsidRDefault="00762BE1" w:rsidP="005C73AC">
      <w:pPr>
        <w:pStyle w:val="ListParagraph"/>
        <w:numPr>
          <w:ilvl w:val="0"/>
          <w:numId w:val="4"/>
        </w:numPr>
        <w:rPr>
          <w:lang w:val="fr-FR"/>
        </w:rPr>
      </w:pPr>
      <w:r>
        <w:rPr>
          <w:lang w:val="fr-FR"/>
        </w:rPr>
        <w:t>Plateformes nationales de suivi et d’évaluation :</w:t>
      </w:r>
      <w:r w:rsidR="00D15DEF" w:rsidRPr="00BB4B1A">
        <w:rPr>
          <w:lang w:val="fr-FR"/>
        </w:rPr>
        <w:t xml:space="preserve"> </w:t>
      </w:r>
      <w:r>
        <w:rPr>
          <w:lang w:val="fr-FR"/>
        </w:rPr>
        <w:t xml:space="preserve">les </w:t>
      </w:r>
      <w:r w:rsidR="003B11BF" w:rsidRPr="00BB4B1A">
        <w:rPr>
          <w:lang w:val="fr-FR"/>
        </w:rPr>
        <w:t>p</w:t>
      </w:r>
      <w:r w:rsidR="00C372D2" w:rsidRPr="00BB4B1A">
        <w:rPr>
          <w:lang w:val="fr-FR"/>
        </w:rPr>
        <w:t>rogr</w:t>
      </w:r>
      <w:r>
        <w:rPr>
          <w:lang w:val="fr-FR"/>
        </w:rPr>
        <w:t xml:space="preserve">ès avec la plateforme unique de suivi et d’évaluation, et </w:t>
      </w:r>
      <w:r w:rsidR="0017302C">
        <w:rPr>
          <w:lang w:val="fr-FR"/>
        </w:rPr>
        <w:t xml:space="preserve">les </w:t>
      </w:r>
      <w:r>
        <w:rPr>
          <w:lang w:val="fr-FR"/>
        </w:rPr>
        <w:t>contributions des différentes initiatives mondiales pour l’</w:t>
      </w:r>
      <w:r w:rsidR="0017302C">
        <w:rPr>
          <w:lang w:val="fr-FR"/>
        </w:rPr>
        <w:t>étayer</w:t>
      </w:r>
      <w:r>
        <w:rPr>
          <w:lang w:val="fr-FR"/>
        </w:rPr>
        <w:t>, seront examinés par le Comité directeur de l’I</w:t>
      </w:r>
      <w:r w:rsidR="00654002">
        <w:rPr>
          <w:lang w:val="fr-FR"/>
        </w:rPr>
        <w:t>H</w:t>
      </w:r>
      <w:r>
        <w:rPr>
          <w:lang w:val="fr-FR"/>
        </w:rPr>
        <w:t xml:space="preserve">P+, et </w:t>
      </w:r>
      <w:r w:rsidR="0017302C">
        <w:rPr>
          <w:lang w:val="fr-FR"/>
        </w:rPr>
        <w:t xml:space="preserve">au cours de </w:t>
      </w:r>
      <w:r>
        <w:rPr>
          <w:lang w:val="fr-FR"/>
        </w:rPr>
        <w:t xml:space="preserve">la </w:t>
      </w:r>
      <w:r w:rsidR="0017302C">
        <w:rPr>
          <w:lang w:val="fr-FR"/>
        </w:rPr>
        <w:t>r</w:t>
      </w:r>
      <w:r>
        <w:rPr>
          <w:lang w:val="fr-FR"/>
        </w:rPr>
        <w:t>éunion des équipes nationales de santé.</w:t>
      </w:r>
      <w:r w:rsidR="00C372D2" w:rsidRPr="00BB4B1A">
        <w:rPr>
          <w:lang w:val="fr-FR"/>
        </w:rPr>
        <w:t xml:space="preserve"> </w:t>
      </w:r>
    </w:p>
    <w:p w14:paraId="5EDB84A7" w14:textId="77777777" w:rsidR="007F1032" w:rsidRPr="00BB4B1A" w:rsidRDefault="00435558" w:rsidP="005C73AC">
      <w:pPr>
        <w:pStyle w:val="ListParagraph"/>
        <w:numPr>
          <w:ilvl w:val="0"/>
          <w:numId w:val="4"/>
        </w:numPr>
        <w:rPr>
          <w:lang w:val="fr-FR"/>
        </w:rPr>
      </w:pPr>
      <w:r>
        <w:rPr>
          <w:lang w:val="fr-FR"/>
        </w:rPr>
        <w:t>Examens annuels conjoints :</w:t>
      </w:r>
      <w:r w:rsidR="00DA334F" w:rsidRPr="00BB4B1A">
        <w:rPr>
          <w:lang w:val="fr-FR"/>
        </w:rPr>
        <w:t xml:space="preserve"> </w:t>
      </w:r>
      <w:r w:rsidR="00A529FA" w:rsidRPr="00BB4B1A">
        <w:rPr>
          <w:lang w:val="fr-FR"/>
        </w:rPr>
        <w:t>pr</w:t>
      </w:r>
      <w:r>
        <w:rPr>
          <w:lang w:val="fr-FR"/>
        </w:rPr>
        <w:t>é</w:t>
      </w:r>
      <w:r w:rsidR="00A529FA" w:rsidRPr="00BB4B1A">
        <w:rPr>
          <w:lang w:val="fr-FR"/>
        </w:rPr>
        <w:t xml:space="preserve">paration </w:t>
      </w:r>
      <w:r>
        <w:rPr>
          <w:lang w:val="fr-FR"/>
        </w:rPr>
        <w:t>d</w:t>
      </w:r>
      <w:r w:rsidR="002C449E">
        <w:rPr>
          <w:lang w:val="fr-FR"/>
        </w:rPr>
        <w:t>’un</w:t>
      </w:r>
      <w:r>
        <w:rPr>
          <w:lang w:val="fr-FR"/>
        </w:rPr>
        <w:t xml:space="preserve"> guide avec des options sur les façons de réaliser des examens annuels conjoints, à l’intention d</w:t>
      </w:r>
      <w:r w:rsidR="0017302C">
        <w:rPr>
          <w:lang w:val="fr-FR"/>
        </w:rPr>
        <w:t xml:space="preserve">es collaborateurs </w:t>
      </w:r>
      <w:r>
        <w:rPr>
          <w:lang w:val="fr-FR"/>
        </w:rPr>
        <w:t>des gouvernements et des institutions de développement. Commandité par le biais de l’IHP+, les partenaires clés a</w:t>
      </w:r>
      <w:r w:rsidR="0017302C">
        <w:rPr>
          <w:lang w:val="fr-FR"/>
        </w:rPr>
        <w:t xml:space="preserve">pprouvant </w:t>
      </w:r>
      <w:r>
        <w:rPr>
          <w:lang w:val="fr-FR"/>
        </w:rPr>
        <w:t>le cahier des charges.</w:t>
      </w:r>
      <w:r w:rsidR="000F0CA2" w:rsidRPr="00BB4B1A">
        <w:rPr>
          <w:lang w:val="fr-FR"/>
        </w:rPr>
        <w:t xml:space="preserve"> </w:t>
      </w:r>
    </w:p>
    <w:p w14:paraId="267CF567" w14:textId="77777777" w:rsidR="00A4588C" w:rsidRPr="00BB4B1A" w:rsidRDefault="00435558" w:rsidP="00503F53">
      <w:pPr>
        <w:pStyle w:val="ListParagraph"/>
        <w:numPr>
          <w:ilvl w:val="0"/>
          <w:numId w:val="4"/>
        </w:numPr>
        <w:spacing w:after="0"/>
        <w:ind w:left="1071" w:hanging="357"/>
        <w:rPr>
          <w:lang w:val="fr-FR"/>
        </w:rPr>
      </w:pPr>
      <w:r>
        <w:rPr>
          <w:lang w:val="fr-FR"/>
        </w:rPr>
        <w:t>Systèmes internes de redevabilité mutuelle quant aux résultats : l’IHP+ aidera les pays à élaborer des mécanismes pour que les partenaires rendent compte de leur engagement à s’aligner sur les priorités, plans et systèmes sanitaires nationaux.</w:t>
      </w:r>
      <w:r w:rsidR="007A57B6" w:rsidRPr="00BB4B1A">
        <w:rPr>
          <w:lang w:val="fr-FR"/>
        </w:rPr>
        <w:t xml:space="preserve"> </w:t>
      </w:r>
    </w:p>
    <w:p w14:paraId="22DF3820" w14:textId="77777777" w:rsidR="008F6547" w:rsidRPr="00BB4B1A" w:rsidRDefault="00435558" w:rsidP="00DE28F5">
      <w:pPr>
        <w:spacing w:after="0"/>
        <w:ind w:left="357" w:firstLine="357"/>
        <w:rPr>
          <w:i/>
          <w:lang w:val="fr-FR"/>
        </w:rPr>
      </w:pPr>
      <w:r>
        <w:rPr>
          <w:i/>
          <w:lang w:val="fr-FR"/>
        </w:rPr>
        <w:t>Repères</w:t>
      </w:r>
    </w:p>
    <w:tbl>
      <w:tblPr>
        <w:tblStyle w:val="TableGrid"/>
        <w:tblW w:w="921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410"/>
      </w:tblGrid>
      <w:tr w:rsidR="0017302C" w:rsidRPr="0017302C" w14:paraId="44B4E549" w14:textId="77777777" w:rsidTr="0017302C">
        <w:tc>
          <w:tcPr>
            <w:tcW w:w="6804" w:type="dxa"/>
          </w:tcPr>
          <w:p w14:paraId="6878F6F1" w14:textId="77777777" w:rsidR="0017302C" w:rsidRPr="0017302C" w:rsidRDefault="0017302C" w:rsidP="00CA46D3">
            <w:pPr>
              <w:rPr>
                <w:lang w:val="fr-FR"/>
              </w:rPr>
            </w:pPr>
            <w:r w:rsidRPr="0017302C">
              <w:rPr>
                <w:lang w:val="fr-FR"/>
              </w:rPr>
              <w:t>Progrès sur la plateforme unique de suivi et d’évaluation mis en commun avec le Comité directeur</w:t>
            </w:r>
          </w:p>
        </w:tc>
        <w:tc>
          <w:tcPr>
            <w:tcW w:w="2410" w:type="dxa"/>
          </w:tcPr>
          <w:p w14:paraId="03A67B28" w14:textId="77777777" w:rsidR="0017302C" w:rsidRDefault="0017302C" w:rsidP="00CA46D3">
            <w:pPr>
              <w:rPr>
                <w:lang w:val="fr-FR"/>
              </w:rPr>
            </w:pPr>
          </w:p>
          <w:p w14:paraId="24CF6DD2" w14:textId="77777777" w:rsidR="0017302C" w:rsidRPr="0017302C" w:rsidRDefault="0017302C" w:rsidP="00CA46D3">
            <w:pPr>
              <w:rPr>
                <w:lang w:val="fr-FR"/>
              </w:rPr>
            </w:pPr>
            <w:r w:rsidRPr="0017302C">
              <w:rPr>
                <w:lang w:val="fr-FR"/>
              </w:rPr>
              <w:t>1er et 3</w:t>
            </w:r>
            <w:r w:rsidRPr="0017302C">
              <w:rPr>
                <w:vertAlign w:val="superscript"/>
                <w:lang w:val="fr-FR"/>
              </w:rPr>
              <w:t>e</w:t>
            </w:r>
            <w:r w:rsidRPr="0017302C">
              <w:rPr>
                <w:lang w:val="fr-FR"/>
              </w:rPr>
              <w:t xml:space="preserve"> trimestre 2014</w:t>
            </w:r>
          </w:p>
        </w:tc>
      </w:tr>
      <w:tr w:rsidR="0017302C" w:rsidRPr="0017302C" w14:paraId="6611E5BE" w14:textId="77777777" w:rsidTr="0017302C">
        <w:tc>
          <w:tcPr>
            <w:tcW w:w="6804" w:type="dxa"/>
          </w:tcPr>
          <w:p w14:paraId="6ACCECBF" w14:textId="77777777" w:rsidR="0017302C" w:rsidRPr="0017302C" w:rsidRDefault="002C449E" w:rsidP="0017302C">
            <w:pPr>
              <w:rPr>
                <w:lang w:val="fr-FR"/>
              </w:rPr>
            </w:pPr>
            <w:r>
              <w:rPr>
                <w:lang w:val="fr-FR"/>
              </w:rPr>
              <w:t>A</w:t>
            </w:r>
            <w:r w:rsidR="0017302C" w:rsidRPr="0017302C">
              <w:rPr>
                <w:lang w:val="fr-FR"/>
              </w:rPr>
              <w:t xml:space="preserve">pproche relative à des exigences plus harmonisées des institutions mondiales en matière d’établissement des rapports </w:t>
            </w:r>
            <w:r w:rsidR="0017302C">
              <w:rPr>
                <w:lang w:val="fr-FR"/>
              </w:rPr>
              <w:t xml:space="preserve">partagée </w:t>
            </w:r>
            <w:r w:rsidR="0017302C" w:rsidRPr="0017302C">
              <w:rPr>
                <w:lang w:val="fr-FR"/>
              </w:rPr>
              <w:t>avec tous les signataires de l’IHP+</w:t>
            </w:r>
          </w:p>
        </w:tc>
        <w:tc>
          <w:tcPr>
            <w:tcW w:w="2410" w:type="dxa"/>
          </w:tcPr>
          <w:p w14:paraId="52A34350" w14:textId="77777777" w:rsidR="0017302C" w:rsidRDefault="0017302C" w:rsidP="00CA46D3">
            <w:pPr>
              <w:rPr>
                <w:lang w:val="fr-FR"/>
              </w:rPr>
            </w:pPr>
          </w:p>
          <w:p w14:paraId="5C5A2B81" w14:textId="77777777" w:rsidR="0017302C" w:rsidRDefault="0017302C" w:rsidP="00CA46D3">
            <w:pPr>
              <w:rPr>
                <w:lang w:val="fr-FR"/>
              </w:rPr>
            </w:pPr>
          </w:p>
          <w:p w14:paraId="0A43CCBB" w14:textId="77777777" w:rsidR="0017302C" w:rsidRPr="0017302C" w:rsidRDefault="0017302C" w:rsidP="00CA46D3">
            <w:pPr>
              <w:rPr>
                <w:lang w:val="fr-FR"/>
              </w:rPr>
            </w:pPr>
            <w:r w:rsidRPr="0017302C">
              <w:rPr>
                <w:lang w:val="fr-FR"/>
              </w:rPr>
              <w:t>2</w:t>
            </w:r>
            <w:r w:rsidRPr="0017302C">
              <w:rPr>
                <w:vertAlign w:val="superscript"/>
                <w:lang w:val="fr-FR"/>
              </w:rPr>
              <w:t>e</w:t>
            </w:r>
            <w:r w:rsidRPr="0017302C">
              <w:rPr>
                <w:lang w:val="fr-FR"/>
              </w:rPr>
              <w:t xml:space="preserve"> trimestre 2014</w:t>
            </w:r>
          </w:p>
        </w:tc>
      </w:tr>
      <w:tr w:rsidR="0017302C" w:rsidRPr="0017302C" w14:paraId="63C7BADA" w14:textId="77777777" w:rsidTr="0017302C">
        <w:tc>
          <w:tcPr>
            <w:tcW w:w="6804" w:type="dxa"/>
          </w:tcPr>
          <w:p w14:paraId="57A7929F" w14:textId="77777777" w:rsidR="0017302C" w:rsidRPr="0017302C" w:rsidRDefault="0017302C" w:rsidP="00CA46D3">
            <w:pPr>
              <w:rPr>
                <w:lang w:val="fr-FR"/>
              </w:rPr>
            </w:pPr>
            <w:r w:rsidRPr="0017302C">
              <w:rPr>
                <w:lang w:val="fr-FR"/>
              </w:rPr>
              <w:t>Étude sur les options pour les examens annuels conjoints achevée</w:t>
            </w:r>
          </w:p>
        </w:tc>
        <w:tc>
          <w:tcPr>
            <w:tcW w:w="2410" w:type="dxa"/>
          </w:tcPr>
          <w:p w14:paraId="52B0CD7B" w14:textId="77777777" w:rsidR="0017302C" w:rsidRPr="0017302C" w:rsidRDefault="0017302C" w:rsidP="00CA46D3">
            <w:pPr>
              <w:rPr>
                <w:lang w:val="fr-FR"/>
              </w:rPr>
            </w:pPr>
            <w:r w:rsidRPr="0017302C">
              <w:rPr>
                <w:lang w:val="fr-FR"/>
              </w:rPr>
              <w:t>3</w:t>
            </w:r>
            <w:r w:rsidRPr="0017302C">
              <w:rPr>
                <w:vertAlign w:val="superscript"/>
                <w:lang w:val="fr-FR"/>
              </w:rPr>
              <w:t>e</w:t>
            </w:r>
            <w:r w:rsidRPr="0017302C">
              <w:rPr>
                <w:lang w:val="fr-FR"/>
              </w:rPr>
              <w:t xml:space="preserve"> trimestre 2014</w:t>
            </w:r>
          </w:p>
        </w:tc>
      </w:tr>
      <w:tr w:rsidR="0017302C" w:rsidRPr="0017302C" w14:paraId="2B1B65A5" w14:textId="77777777" w:rsidTr="0017302C">
        <w:tc>
          <w:tcPr>
            <w:tcW w:w="6804" w:type="dxa"/>
          </w:tcPr>
          <w:p w14:paraId="00582EDE" w14:textId="77777777" w:rsidR="0017302C" w:rsidRPr="0017302C" w:rsidRDefault="0017302C" w:rsidP="0017302C">
            <w:pPr>
              <w:rPr>
                <w:lang w:val="fr-FR"/>
              </w:rPr>
            </w:pPr>
            <w:r w:rsidRPr="0017302C">
              <w:rPr>
                <w:lang w:val="fr-FR"/>
              </w:rPr>
              <w:t xml:space="preserve">Soutien pour le suivi national des progrès des engagements en matière d’efficacité de l’aide </w:t>
            </w:r>
            <w:r>
              <w:rPr>
                <w:lang w:val="fr-FR"/>
              </w:rPr>
              <w:t>prodigué</w:t>
            </w:r>
            <w:r w:rsidRPr="0017302C">
              <w:rPr>
                <w:lang w:val="fr-FR"/>
              </w:rPr>
              <w:t xml:space="preserve"> par le biais de l’Équipe de base</w:t>
            </w:r>
          </w:p>
        </w:tc>
        <w:tc>
          <w:tcPr>
            <w:tcW w:w="2410" w:type="dxa"/>
          </w:tcPr>
          <w:p w14:paraId="520A9CD1" w14:textId="77777777" w:rsidR="0017302C" w:rsidRDefault="0017302C" w:rsidP="00CA46D3">
            <w:pPr>
              <w:rPr>
                <w:lang w:val="fr-FR"/>
              </w:rPr>
            </w:pPr>
          </w:p>
          <w:p w14:paraId="7C2ED12B" w14:textId="77777777" w:rsidR="0017302C" w:rsidRPr="0017302C" w:rsidRDefault="0017302C" w:rsidP="00CA46D3">
            <w:pPr>
              <w:rPr>
                <w:lang w:val="fr-FR"/>
              </w:rPr>
            </w:pPr>
            <w:r w:rsidRPr="0017302C">
              <w:rPr>
                <w:lang w:val="fr-FR"/>
              </w:rPr>
              <w:t>2014 / 15</w:t>
            </w:r>
          </w:p>
        </w:tc>
      </w:tr>
    </w:tbl>
    <w:p w14:paraId="55172AB4" w14:textId="77777777" w:rsidR="001C1F2B" w:rsidRPr="00BB4B1A" w:rsidRDefault="001C1F2B" w:rsidP="00FF640A">
      <w:pPr>
        <w:spacing w:after="0"/>
        <w:ind w:left="714"/>
        <w:rPr>
          <w:lang w:val="fr-FR"/>
        </w:rPr>
      </w:pPr>
    </w:p>
    <w:p w14:paraId="74CE2B55" w14:textId="77777777" w:rsidR="007917A3" w:rsidRPr="00BB4B1A" w:rsidRDefault="003905DA" w:rsidP="00AB614F">
      <w:pPr>
        <w:spacing w:after="0"/>
        <w:ind w:left="357"/>
        <w:rPr>
          <w:rFonts w:ascii="Calibri" w:eastAsia="Times New Roman" w:hAnsi="Calibri" w:cs="Times New Roman"/>
          <w:b/>
          <w:i/>
          <w:lang w:val="fr-FR" w:eastAsia="en-GB"/>
        </w:rPr>
      </w:pPr>
      <w:r w:rsidRPr="00BB4B1A">
        <w:rPr>
          <w:rFonts w:ascii="Calibri" w:eastAsia="Times New Roman" w:hAnsi="Calibri" w:cs="Times New Roman"/>
          <w:b/>
          <w:i/>
          <w:lang w:val="fr-FR" w:eastAsia="en-GB"/>
        </w:rPr>
        <w:t>B.</w:t>
      </w:r>
      <w:r w:rsidR="00AB614F" w:rsidRPr="00BB4B1A">
        <w:rPr>
          <w:rFonts w:ascii="Calibri" w:eastAsia="Times New Roman" w:hAnsi="Calibri" w:cs="Times New Roman"/>
          <w:b/>
          <w:i/>
          <w:lang w:val="fr-FR" w:eastAsia="en-GB"/>
        </w:rPr>
        <w:t>1.2</w:t>
      </w:r>
      <w:r w:rsidR="00DE28F5" w:rsidRPr="00BB4B1A">
        <w:rPr>
          <w:rFonts w:ascii="Calibri" w:eastAsia="Times New Roman" w:hAnsi="Calibri" w:cs="Times New Roman"/>
          <w:b/>
          <w:i/>
          <w:lang w:val="fr-FR" w:eastAsia="en-GB"/>
        </w:rPr>
        <w:t xml:space="preserve"> </w:t>
      </w:r>
      <w:r w:rsidR="007B743F">
        <w:rPr>
          <w:rFonts w:ascii="Calibri" w:eastAsia="Times New Roman" w:hAnsi="Calibri" w:cs="Times New Roman"/>
          <w:b/>
          <w:i/>
          <w:lang w:val="fr-FR" w:eastAsia="en-GB"/>
        </w:rPr>
        <w:t>Harmonisation et alignement de la gestion financière</w:t>
      </w:r>
    </w:p>
    <w:p w14:paraId="246143F5" w14:textId="77777777" w:rsidR="00A4588C" w:rsidRPr="00BB4B1A" w:rsidRDefault="00A4588C" w:rsidP="00A4588C">
      <w:pPr>
        <w:spacing w:after="0"/>
        <w:ind w:left="357"/>
        <w:rPr>
          <w:lang w:val="fr-FR"/>
        </w:rPr>
      </w:pPr>
    </w:p>
    <w:p w14:paraId="4278CD05" w14:textId="77777777" w:rsidR="000B0F76" w:rsidRPr="00BB4B1A" w:rsidRDefault="000B0F76" w:rsidP="000B0F76">
      <w:pPr>
        <w:shd w:val="clear" w:color="auto" w:fill="FFFFFF" w:themeFill="background1"/>
        <w:spacing w:after="0"/>
        <w:ind w:firstLine="720"/>
        <w:rPr>
          <w:lang w:val="fr-FR"/>
        </w:rPr>
      </w:pPr>
      <w:r w:rsidRPr="00BB4B1A">
        <w:rPr>
          <w:i/>
          <w:lang w:val="fr-FR"/>
        </w:rPr>
        <w:t>Acti</w:t>
      </w:r>
      <w:r w:rsidR="007B743F">
        <w:rPr>
          <w:i/>
          <w:lang w:val="fr-FR"/>
        </w:rPr>
        <w:t>vités</w:t>
      </w:r>
      <w:r w:rsidR="00366CE1" w:rsidRPr="00BB4B1A">
        <w:rPr>
          <w:lang w:val="fr-FR"/>
        </w:rPr>
        <w:t xml:space="preserve"> </w:t>
      </w:r>
    </w:p>
    <w:p w14:paraId="2F5E0971" w14:textId="77777777" w:rsidR="00A529FA" w:rsidRPr="00BB4B1A" w:rsidRDefault="00BB1D32" w:rsidP="00A529FA">
      <w:pPr>
        <w:pStyle w:val="ListParagraph"/>
        <w:numPr>
          <w:ilvl w:val="0"/>
          <w:numId w:val="4"/>
        </w:numPr>
        <w:rPr>
          <w:lang w:val="fr-FR"/>
        </w:rPr>
      </w:pPr>
      <w:r w:rsidRPr="00BB4B1A">
        <w:rPr>
          <w:lang w:val="fr-FR"/>
        </w:rPr>
        <w:t>E</w:t>
      </w:r>
      <w:r w:rsidR="00D455F8" w:rsidRPr="00BB4B1A">
        <w:rPr>
          <w:lang w:val="fr-FR"/>
        </w:rPr>
        <w:t>ncourage</w:t>
      </w:r>
      <w:r w:rsidR="007B743F">
        <w:rPr>
          <w:lang w:val="fr-FR"/>
        </w:rPr>
        <w:t>r les institutions et les pays à adopter les évaluations conjointes de la gestion financière comme leur option préférée pour les évaluations</w:t>
      </w:r>
      <w:r w:rsidR="007917A3" w:rsidRPr="00BB4B1A">
        <w:rPr>
          <w:lang w:val="fr-FR"/>
        </w:rPr>
        <w:t xml:space="preserve"> </w:t>
      </w:r>
      <w:r w:rsidR="007B743F">
        <w:rPr>
          <w:lang w:val="fr-FR"/>
        </w:rPr>
        <w:t>de ce type.</w:t>
      </w:r>
      <w:r w:rsidR="00686DD6" w:rsidRPr="00BB4B1A">
        <w:rPr>
          <w:lang w:val="fr-FR"/>
        </w:rPr>
        <w:t xml:space="preserve"> </w:t>
      </w:r>
    </w:p>
    <w:p w14:paraId="459CF89C" w14:textId="77777777" w:rsidR="00A529FA" w:rsidRPr="00BB4B1A" w:rsidRDefault="00A529FA" w:rsidP="00A529FA">
      <w:pPr>
        <w:pStyle w:val="ListParagraph"/>
        <w:numPr>
          <w:ilvl w:val="0"/>
          <w:numId w:val="4"/>
        </w:numPr>
        <w:rPr>
          <w:lang w:val="fr-FR"/>
        </w:rPr>
      </w:pPr>
      <w:r w:rsidRPr="00BB4B1A">
        <w:rPr>
          <w:lang w:val="fr-FR"/>
        </w:rPr>
        <w:t>Mobilise</w:t>
      </w:r>
      <w:r w:rsidR="007B743F">
        <w:rPr>
          <w:lang w:val="fr-FR"/>
        </w:rPr>
        <w:t>r les institutions pour assurer un soutien plus harmonisé en vue de renforcer les systèmes nationaux de gestion financière, notamment par l’entremise des dispositions fiduciaires conjointes.</w:t>
      </w:r>
      <w:r w:rsidRPr="00BB4B1A">
        <w:rPr>
          <w:lang w:val="fr-FR"/>
        </w:rPr>
        <w:t xml:space="preserve"> </w:t>
      </w:r>
    </w:p>
    <w:p w14:paraId="31FA5A3B" w14:textId="77777777" w:rsidR="00A875D2" w:rsidRPr="00BB4B1A" w:rsidRDefault="007B743F" w:rsidP="00A875D2">
      <w:pPr>
        <w:pStyle w:val="ListParagraph"/>
        <w:numPr>
          <w:ilvl w:val="0"/>
          <w:numId w:val="4"/>
        </w:numPr>
        <w:rPr>
          <w:lang w:val="fr-FR"/>
        </w:rPr>
      </w:pPr>
      <w:r>
        <w:rPr>
          <w:lang w:val="fr-FR"/>
        </w:rPr>
        <w:t>Dé</w:t>
      </w:r>
      <w:r w:rsidR="008124DB" w:rsidRPr="00BB4B1A">
        <w:rPr>
          <w:lang w:val="fr-FR"/>
        </w:rPr>
        <w:t>fin</w:t>
      </w:r>
      <w:r>
        <w:rPr>
          <w:lang w:val="fr-FR"/>
        </w:rPr>
        <w:t>ir et mettre en œuvre une stratégie pour promouvoir les dispositions fiduciaires conjointes.</w:t>
      </w:r>
    </w:p>
    <w:p w14:paraId="6C644FF0" w14:textId="77777777" w:rsidR="00A875D2" w:rsidRPr="00BB4B1A" w:rsidRDefault="00642109" w:rsidP="00A875D2">
      <w:pPr>
        <w:pStyle w:val="ListParagraph"/>
        <w:numPr>
          <w:ilvl w:val="0"/>
          <w:numId w:val="4"/>
        </w:numPr>
        <w:rPr>
          <w:lang w:val="fr-FR"/>
        </w:rPr>
      </w:pPr>
      <w:r w:rsidRPr="00BB4B1A">
        <w:rPr>
          <w:lang w:val="fr-FR"/>
        </w:rPr>
        <w:lastRenderedPageBreak/>
        <w:t>F</w:t>
      </w:r>
      <w:r w:rsidR="00686DD6" w:rsidRPr="00BB4B1A">
        <w:rPr>
          <w:lang w:val="fr-FR"/>
        </w:rPr>
        <w:t>acilite</w:t>
      </w:r>
      <w:r w:rsidR="007B743F">
        <w:rPr>
          <w:lang w:val="fr-FR"/>
        </w:rPr>
        <w:t xml:space="preserve">r le soutien aux pays </w:t>
      </w:r>
      <w:r w:rsidR="004A38C6">
        <w:rPr>
          <w:lang w:val="fr-FR"/>
        </w:rPr>
        <w:t xml:space="preserve">pour qu’ils renforcent </w:t>
      </w:r>
      <w:r w:rsidR="007B743F">
        <w:rPr>
          <w:lang w:val="fr-FR"/>
        </w:rPr>
        <w:t>leurs systèmes de gestion financière, principalement par le biais d</w:t>
      </w:r>
      <w:r w:rsidR="004A38C6">
        <w:rPr>
          <w:lang w:val="fr-FR"/>
        </w:rPr>
        <w:t>es collaborateurs des institutions partenaires et d</w:t>
      </w:r>
      <w:r w:rsidR="007B743F">
        <w:rPr>
          <w:lang w:val="fr-FR"/>
        </w:rPr>
        <w:t xml:space="preserve">es </w:t>
      </w:r>
      <w:r w:rsidR="00A956D3">
        <w:rPr>
          <w:lang w:val="fr-FR"/>
        </w:rPr>
        <w:t xml:space="preserve">organismes </w:t>
      </w:r>
      <w:r w:rsidR="004A38C6">
        <w:rPr>
          <w:lang w:val="fr-FR"/>
        </w:rPr>
        <w:t>ressources</w:t>
      </w:r>
      <w:r w:rsidR="007B743F">
        <w:rPr>
          <w:lang w:val="fr-FR"/>
        </w:rPr>
        <w:t>.</w:t>
      </w:r>
    </w:p>
    <w:p w14:paraId="5F5BA777" w14:textId="77777777" w:rsidR="00A875D2" w:rsidRPr="00BB4B1A" w:rsidRDefault="00A956D3" w:rsidP="00DE28F5">
      <w:pPr>
        <w:spacing w:after="0"/>
        <w:ind w:left="360" w:firstLine="360"/>
        <w:rPr>
          <w:rFonts w:ascii="Calibri" w:eastAsia="Times New Roman" w:hAnsi="Calibri" w:cs="Times New Roman"/>
          <w:i/>
          <w:lang w:val="fr-FR" w:eastAsia="en-GB"/>
        </w:rPr>
      </w:pPr>
      <w:r>
        <w:rPr>
          <w:rFonts w:ascii="Calibri" w:eastAsia="Times New Roman" w:hAnsi="Calibri" w:cs="Times New Roman"/>
          <w:lang w:val="fr-FR" w:eastAsia="en-GB"/>
        </w:rPr>
        <w:t>Un groupe de travail de l’</w:t>
      </w:r>
      <w:r w:rsidR="00642109" w:rsidRPr="00BB4B1A">
        <w:rPr>
          <w:rFonts w:ascii="Calibri" w:eastAsia="Times New Roman" w:hAnsi="Calibri" w:cs="Times New Roman"/>
          <w:lang w:val="fr-FR" w:eastAsia="en-GB"/>
        </w:rPr>
        <w:t xml:space="preserve">IHP+ </w:t>
      </w:r>
      <w:r>
        <w:rPr>
          <w:rFonts w:ascii="Calibri" w:eastAsia="Times New Roman" w:hAnsi="Calibri" w:cs="Times New Roman"/>
          <w:lang w:val="fr-FR" w:eastAsia="en-GB"/>
        </w:rPr>
        <w:t xml:space="preserve">sera créé pour faire </w:t>
      </w:r>
      <w:r w:rsidR="004A38C6">
        <w:rPr>
          <w:rFonts w:ascii="Calibri" w:eastAsia="Times New Roman" w:hAnsi="Calibri" w:cs="Times New Roman"/>
          <w:lang w:val="fr-FR" w:eastAsia="en-GB"/>
        </w:rPr>
        <w:t xml:space="preserve">progresser </w:t>
      </w:r>
      <w:r>
        <w:rPr>
          <w:rFonts w:ascii="Calibri" w:eastAsia="Times New Roman" w:hAnsi="Calibri" w:cs="Times New Roman"/>
          <w:lang w:val="fr-FR" w:eastAsia="en-GB"/>
        </w:rPr>
        <w:t>les aspects techniques de ce travail.</w:t>
      </w:r>
    </w:p>
    <w:p w14:paraId="5A34750B" w14:textId="77777777" w:rsidR="00241E59" w:rsidRPr="00BB4B1A" w:rsidRDefault="00A956D3" w:rsidP="00A956D3">
      <w:pPr>
        <w:spacing w:after="0"/>
        <w:ind w:left="360" w:firstLine="360"/>
        <w:rPr>
          <w:rFonts w:ascii="Calibri" w:eastAsia="Times New Roman" w:hAnsi="Calibri" w:cs="Times New Roman"/>
          <w:i/>
          <w:lang w:val="fr-FR" w:eastAsia="en-GB"/>
        </w:rPr>
      </w:pPr>
      <w:r>
        <w:rPr>
          <w:rFonts w:ascii="Calibri" w:eastAsia="Times New Roman" w:hAnsi="Calibri" w:cs="Times New Roman"/>
          <w:i/>
          <w:lang w:val="fr-FR" w:eastAsia="en-GB"/>
        </w:rPr>
        <w:t>Repères</w:t>
      </w:r>
    </w:p>
    <w:tbl>
      <w:tblPr>
        <w:tblStyle w:val="TableGri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126"/>
      </w:tblGrid>
      <w:tr w:rsidR="004A38C6" w:rsidRPr="004A38C6" w14:paraId="37B7D6F3" w14:textId="77777777" w:rsidTr="004A38C6">
        <w:tc>
          <w:tcPr>
            <w:tcW w:w="6804" w:type="dxa"/>
          </w:tcPr>
          <w:p w14:paraId="297B07A8" w14:textId="77777777" w:rsidR="004A38C6" w:rsidRPr="004A38C6" w:rsidRDefault="004A38C6" w:rsidP="00901985">
            <w:pPr>
              <w:rPr>
                <w:rFonts w:ascii="Calibri" w:eastAsia="Times New Roman" w:hAnsi="Calibri" w:cs="Times New Roman"/>
                <w:lang w:val="fr-FR" w:eastAsia="en-GB"/>
              </w:rPr>
            </w:pPr>
            <w:r w:rsidRPr="004A38C6">
              <w:rPr>
                <w:rFonts w:ascii="Calibri" w:eastAsia="Times New Roman" w:hAnsi="Calibri" w:cs="Times New Roman"/>
                <w:lang w:val="fr-FR" w:eastAsia="en-GB"/>
              </w:rPr>
              <w:t xml:space="preserve">Le groupe de travail sur la gestion financière </w:t>
            </w:r>
            <w:r>
              <w:rPr>
                <w:rFonts w:ascii="Calibri" w:eastAsia="Times New Roman" w:hAnsi="Calibri" w:cs="Times New Roman"/>
                <w:lang w:val="fr-FR" w:eastAsia="en-GB"/>
              </w:rPr>
              <w:t xml:space="preserve">est </w:t>
            </w:r>
            <w:r w:rsidRPr="004A38C6">
              <w:rPr>
                <w:rFonts w:ascii="Calibri" w:eastAsia="Times New Roman" w:hAnsi="Calibri" w:cs="Times New Roman"/>
                <w:lang w:val="fr-FR" w:eastAsia="en-GB"/>
              </w:rPr>
              <w:t>réuni par la Banque mondiale</w:t>
            </w:r>
          </w:p>
        </w:tc>
        <w:tc>
          <w:tcPr>
            <w:tcW w:w="2126" w:type="dxa"/>
          </w:tcPr>
          <w:p w14:paraId="6FE177A5" w14:textId="77777777" w:rsidR="004A38C6" w:rsidRPr="004A38C6" w:rsidRDefault="004A38C6" w:rsidP="00901985">
            <w:pPr>
              <w:rPr>
                <w:rFonts w:ascii="Calibri" w:eastAsia="Times New Roman" w:hAnsi="Calibri" w:cs="Times New Roman"/>
                <w:lang w:val="fr-FR" w:eastAsia="en-GB"/>
              </w:rPr>
            </w:pPr>
            <w:r w:rsidRPr="004A38C6">
              <w:rPr>
                <w:rFonts w:ascii="Calibri" w:eastAsia="Times New Roman" w:hAnsi="Calibri" w:cs="Times New Roman"/>
                <w:lang w:val="fr-FR" w:eastAsia="en-GB"/>
              </w:rPr>
              <w:t>1</w:t>
            </w:r>
            <w:r w:rsidRPr="004A38C6">
              <w:rPr>
                <w:rFonts w:ascii="Calibri" w:eastAsia="Times New Roman" w:hAnsi="Calibri" w:cs="Times New Roman"/>
                <w:vertAlign w:val="superscript"/>
                <w:lang w:val="fr-FR" w:eastAsia="en-GB"/>
              </w:rPr>
              <w:t>er</w:t>
            </w:r>
            <w:r w:rsidRPr="004A38C6">
              <w:rPr>
                <w:rFonts w:ascii="Calibri" w:eastAsia="Times New Roman" w:hAnsi="Calibri" w:cs="Times New Roman"/>
                <w:lang w:val="fr-FR" w:eastAsia="en-GB"/>
              </w:rPr>
              <w:t xml:space="preserve"> trimestre 2014</w:t>
            </w:r>
          </w:p>
        </w:tc>
      </w:tr>
      <w:tr w:rsidR="004A38C6" w:rsidRPr="004A38C6" w14:paraId="3CA6AB9C" w14:textId="77777777" w:rsidTr="004A38C6">
        <w:tc>
          <w:tcPr>
            <w:tcW w:w="6804" w:type="dxa"/>
          </w:tcPr>
          <w:p w14:paraId="22BDF23C" w14:textId="77777777" w:rsidR="004A38C6" w:rsidRPr="004A38C6" w:rsidRDefault="004A38C6" w:rsidP="004A38C6">
            <w:pPr>
              <w:rPr>
                <w:lang w:val="fr-FR"/>
              </w:rPr>
            </w:pPr>
            <w:r>
              <w:rPr>
                <w:lang w:val="fr-FR"/>
              </w:rPr>
              <w:t xml:space="preserve">Commentaires reçus </w:t>
            </w:r>
            <w:r w:rsidRPr="004A38C6">
              <w:rPr>
                <w:lang w:val="fr-FR"/>
              </w:rPr>
              <w:t>des institutions sur la faisabilité d’évaluations conjointes de la gestion financière</w:t>
            </w:r>
          </w:p>
        </w:tc>
        <w:tc>
          <w:tcPr>
            <w:tcW w:w="2126" w:type="dxa"/>
          </w:tcPr>
          <w:p w14:paraId="6C02A5FC" w14:textId="77777777" w:rsidR="004A38C6" w:rsidRPr="004A38C6" w:rsidRDefault="004A38C6" w:rsidP="00901985">
            <w:pPr>
              <w:rPr>
                <w:lang w:val="fr-FR"/>
              </w:rPr>
            </w:pPr>
            <w:r w:rsidRPr="004A38C6">
              <w:rPr>
                <w:lang w:val="fr-FR"/>
              </w:rPr>
              <w:t>2</w:t>
            </w:r>
            <w:r w:rsidRPr="004A38C6">
              <w:rPr>
                <w:vertAlign w:val="superscript"/>
                <w:lang w:val="fr-FR"/>
              </w:rPr>
              <w:t>e</w:t>
            </w:r>
            <w:r w:rsidRPr="004A38C6">
              <w:rPr>
                <w:lang w:val="fr-FR"/>
              </w:rPr>
              <w:t xml:space="preserve"> trimestre 2014</w:t>
            </w:r>
          </w:p>
        </w:tc>
      </w:tr>
      <w:tr w:rsidR="004A38C6" w:rsidRPr="004A38C6" w14:paraId="18CCF482" w14:textId="77777777" w:rsidTr="004A38C6">
        <w:tc>
          <w:tcPr>
            <w:tcW w:w="6804" w:type="dxa"/>
          </w:tcPr>
          <w:p w14:paraId="61124B46" w14:textId="77777777" w:rsidR="004A38C6" w:rsidRPr="004A38C6" w:rsidRDefault="004A38C6" w:rsidP="004A38C6">
            <w:pPr>
              <w:rPr>
                <w:rFonts w:ascii="Calibri" w:eastAsia="Times New Roman" w:hAnsi="Calibri" w:cs="Times New Roman"/>
                <w:lang w:val="fr-FR" w:eastAsia="en-GB"/>
              </w:rPr>
            </w:pPr>
            <w:r w:rsidRPr="004A38C6">
              <w:rPr>
                <w:lang w:val="fr-FR"/>
              </w:rPr>
              <w:t>Stratégie pour promouvoir les dispositions fiduciaires conjointes</w:t>
            </w:r>
          </w:p>
        </w:tc>
        <w:tc>
          <w:tcPr>
            <w:tcW w:w="2126" w:type="dxa"/>
          </w:tcPr>
          <w:p w14:paraId="15DEA0D6" w14:textId="77777777" w:rsidR="004A38C6" w:rsidRPr="004A38C6" w:rsidRDefault="004A38C6" w:rsidP="00901985">
            <w:pPr>
              <w:rPr>
                <w:rFonts w:ascii="Calibri" w:eastAsia="Times New Roman" w:hAnsi="Calibri" w:cs="Times New Roman"/>
                <w:lang w:val="fr-FR" w:eastAsia="en-GB"/>
              </w:rPr>
            </w:pPr>
            <w:r w:rsidRPr="004A38C6">
              <w:rPr>
                <w:rFonts w:ascii="Calibri" w:eastAsia="Times New Roman" w:hAnsi="Calibri" w:cs="Times New Roman"/>
                <w:lang w:val="fr-FR" w:eastAsia="en-GB"/>
              </w:rPr>
              <w:t>2</w:t>
            </w:r>
            <w:r w:rsidRPr="004A38C6">
              <w:rPr>
                <w:rFonts w:ascii="Calibri" w:eastAsia="Times New Roman" w:hAnsi="Calibri" w:cs="Times New Roman"/>
                <w:vertAlign w:val="superscript"/>
                <w:lang w:val="fr-FR" w:eastAsia="en-GB"/>
              </w:rPr>
              <w:t>e</w:t>
            </w:r>
            <w:r w:rsidRPr="004A38C6">
              <w:rPr>
                <w:rFonts w:ascii="Calibri" w:eastAsia="Times New Roman" w:hAnsi="Calibri" w:cs="Times New Roman"/>
                <w:lang w:val="fr-FR" w:eastAsia="en-GB"/>
              </w:rPr>
              <w:t xml:space="preserve"> trimestre 2014</w:t>
            </w:r>
          </w:p>
        </w:tc>
      </w:tr>
      <w:tr w:rsidR="004A38C6" w:rsidRPr="004A38C6" w14:paraId="13395F10" w14:textId="77777777" w:rsidTr="004A38C6">
        <w:tc>
          <w:tcPr>
            <w:tcW w:w="6804" w:type="dxa"/>
          </w:tcPr>
          <w:p w14:paraId="09CCCCA3" w14:textId="77777777" w:rsidR="004A38C6" w:rsidRPr="004A38C6" w:rsidRDefault="004A38C6" w:rsidP="00901985">
            <w:pPr>
              <w:rPr>
                <w:rFonts w:ascii="Calibri" w:eastAsia="Times New Roman" w:hAnsi="Calibri" w:cs="Times New Roman"/>
                <w:lang w:val="fr-FR" w:eastAsia="en-GB"/>
              </w:rPr>
            </w:pPr>
            <w:r w:rsidRPr="004A38C6">
              <w:rPr>
                <w:rFonts w:ascii="Calibri" w:eastAsia="Times New Roman" w:hAnsi="Calibri" w:cs="Times New Roman"/>
                <w:lang w:val="fr-FR" w:eastAsia="en-GB"/>
              </w:rPr>
              <w:t>Soutien aux pays prodigué par l’Équipe de base</w:t>
            </w:r>
          </w:p>
        </w:tc>
        <w:tc>
          <w:tcPr>
            <w:tcW w:w="2126" w:type="dxa"/>
          </w:tcPr>
          <w:p w14:paraId="10D33F8B" w14:textId="77777777" w:rsidR="004A38C6" w:rsidRPr="004A38C6" w:rsidRDefault="004A38C6" w:rsidP="00901985">
            <w:pPr>
              <w:rPr>
                <w:rFonts w:ascii="Calibri" w:eastAsia="Times New Roman" w:hAnsi="Calibri" w:cs="Times New Roman"/>
                <w:lang w:val="fr-FR" w:eastAsia="en-GB"/>
              </w:rPr>
            </w:pPr>
            <w:r w:rsidRPr="004A38C6">
              <w:rPr>
                <w:rFonts w:ascii="Calibri" w:eastAsia="Times New Roman" w:hAnsi="Calibri" w:cs="Times New Roman"/>
                <w:lang w:val="fr-FR" w:eastAsia="en-GB"/>
              </w:rPr>
              <w:t>2014/15</w:t>
            </w:r>
          </w:p>
        </w:tc>
      </w:tr>
    </w:tbl>
    <w:p w14:paraId="1B0098B2" w14:textId="77777777" w:rsidR="00A529FA" w:rsidRPr="00BB4B1A" w:rsidRDefault="00A529FA" w:rsidP="00A529FA">
      <w:pPr>
        <w:spacing w:after="0"/>
        <w:rPr>
          <w:rFonts w:ascii="Calibri" w:eastAsia="Times New Roman" w:hAnsi="Calibri" w:cs="Times New Roman"/>
          <w:lang w:val="fr-FR" w:eastAsia="en-GB"/>
        </w:rPr>
      </w:pPr>
    </w:p>
    <w:p w14:paraId="00EE9AC4" w14:textId="77777777" w:rsidR="00834166" w:rsidRPr="00BB4B1A" w:rsidRDefault="003905DA" w:rsidP="00A529FA">
      <w:pPr>
        <w:ind w:left="360"/>
        <w:rPr>
          <w:rFonts w:ascii="Calibri" w:eastAsia="Times New Roman" w:hAnsi="Calibri" w:cs="Times New Roman"/>
          <w:b/>
          <w:sz w:val="24"/>
          <w:szCs w:val="24"/>
          <w:lang w:val="fr-FR" w:eastAsia="en-GB"/>
        </w:rPr>
      </w:pPr>
      <w:r w:rsidRPr="00BB4B1A">
        <w:rPr>
          <w:rFonts w:ascii="Calibri" w:eastAsia="Times New Roman" w:hAnsi="Calibri" w:cs="Times New Roman"/>
          <w:b/>
          <w:sz w:val="24"/>
          <w:szCs w:val="24"/>
          <w:lang w:val="fr-FR" w:eastAsia="en-GB"/>
        </w:rPr>
        <w:t>B.</w:t>
      </w:r>
      <w:r w:rsidR="00A529FA" w:rsidRPr="00BB4B1A">
        <w:rPr>
          <w:rFonts w:ascii="Calibri" w:eastAsia="Times New Roman" w:hAnsi="Calibri" w:cs="Times New Roman"/>
          <w:b/>
          <w:sz w:val="24"/>
          <w:szCs w:val="24"/>
          <w:lang w:val="fr-FR" w:eastAsia="en-GB"/>
        </w:rPr>
        <w:t xml:space="preserve">2. </w:t>
      </w:r>
      <w:r w:rsidR="00A956D3">
        <w:rPr>
          <w:rFonts w:ascii="Calibri" w:eastAsia="Times New Roman" w:hAnsi="Calibri" w:cs="Times New Roman"/>
          <w:b/>
          <w:sz w:val="24"/>
          <w:szCs w:val="24"/>
          <w:lang w:val="fr-FR" w:eastAsia="en-GB"/>
        </w:rPr>
        <w:t>Consolidation et poursuite des approches bien établies</w:t>
      </w:r>
    </w:p>
    <w:p w14:paraId="5CB40A39" w14:textId="77777777" w:rsidR="00A6017F" w:rsidRPr="00BB4B1A" w:rsidRDefault="003905DA" w:rsidP="00834166">
      <w:pPr>
        <w:spacing w:after="0"/>
        <w:ind w:left="360"/>
        <w:rPr>
          <w:rFonts w:ascii="Calibri" w:eastAsia="Times New Roman" w:hAnsi="Calibri" w:cs="Times New Roman"/>
          <w:b/>
          <w:i/>
          <w:lang w:val="fr-FR" w:eastAsia="en-GB"/>
        </w:rPr>
      </w:pPr>
      <w:r w:rsidRPr="00BB4B1A">
        <w:rPr>
          <w:rFonts w:ascii="Calibri" w:eastAsia="Times New Roman" w:hAnsi="Calibri" w:cs="Times New Roman"/>
          <w:b/>
          <w:i/>
          <w:lang w:val="fr-FR" w:eastAsia="en-GB"/>
        </w:rPr>
        <w:t>B.</w:t>
      </w:r>
      <w:r w:rsidR="00834166" w:rsidRPr="00BB4B1A">
        <w:rPr>
          <w:rFonts w:ascii="Calibri" w:eastAsia="Times New Roman" w:hAnsi="Calibri" w:cs="Times New Roman"/>
          <w:b/>
          <w:i/>
          <w:lang w:val="fr-FR" w:eastAsia="en-GB"/>
        </w:rPr>
        <w:t>2.</w:t>
      </w:r>
      <w:r w:rsidR="00C553C6" w:rsidRPr="00BB4B1A">
        <w:rPr>
          <w:rFonts w:ascii="Calibri" w:eastAsia="Times New Roman" w:hAnsi="Calibri" w:cs="Times New Roman"/>
          <w:b/>
          <w:i/>
          <w:lang w:val="fr-FR" w:eastAsia="en-GB"/>
        </w:rPr>
        <w:t>1</w:t>
      </w:r>
      <w:r w:rsidR="00834166" w:rsidRPr="00BB4B1A">
        <w:rPr>
          <w:rFonts w:ascii="Calibri" w:eastAsia="Times New Roman" w:hAnsi="Calibri" w:cs="Times New Roman"/>
          <w:b/>
          <w:i/>
          <w:lang w:val="fr-FR" w:eastAsia="en-GB"/>
        </w:rPr>
        <w:t xml:space="preserve"> </w:t>
      </w:r>
      <w:r w:rsidR="00A956D3">
        <w:rPr>
          <w:rFonts w:ascii="Calibri" w:eastAsia="Times New Roman" w:hAnsi="Calibri" w:cs="Times New Roman"/>
          <w:b/>
          <w:i/>
          <w:lang w:val="fr-FR" w:eastAsia="en-GB"/>
        </w:rPr>
        <w:t xml:space="preserve">Évaluations </w:t>
      </w:r>
      <w:r w:rsidR="00A6017F" w:rsidRPr="00BB4B1A">
        <w:rPr>
          <w:rFonts w:ascii="Calibri" w:eastAsia="Times New Roman" w:hAnsi="Calibri" w:cs="Times New Roman"/>
          <w:b/>
          <w:i/>
          <w:lang w:val="fr-FR" w:eastAsia="en-GB"/>
        </w:rPr>
        <w:t xml:space="preserve">JANS </w:t>
      </w:r>
      <w:r w:rsidR="00A956D3">
        <w:rPr>
          <w:rFonts w:ascii="Calibri" w:eastAsia="Times New Roman" w:hAnsi="Calibri" w:cs="Times New Roman"/>
          <w:b/>
          <w:i/>
          <w:lang w:val="fr-FR" w:eastAsia="en-GB"/>
        </w:rPr>
        <w:t>et pactes</w:t>
      </w:r>
    </w:p>
    <w:p w14:paraId="01F90F51" w14:textId="77777777" w:rsidR="000B0F76" w:rsidRPr="00BB4B1A" w:rsidRDefault="000B0F76" w:rsidP="00BF5134">
      <w:pPr>
        <w:shd w:val="clear" w:color="auto" w:fill="FFFFFF" w:themeFill="background1"/>
        <w:spacing w:after="0"/>
        <w:ind w:left="357"/>
        <w:rPr>
          <w:i/>
          <w:lang w:val="fr-FR"/>
        </w:rPr>
      </w:pPr>
    </w:p>
    <w:p w14:paraId="4ACD56DD" w14:textId="77777777" w:rsidR="000B0F76" w:rsidRPr="00BB4B1A" w:rsidRDefault="000B0F76" w:rsidP="000B0F76">
      <w:pPr>
        <w:shd w:val="clear" w:color="auto" w:fill="FFFFFF" w:themeFill="background1"/>
        <w:spacing w:after="0"/>
        <w:ind w:left="360" w:firstLine="360"/>
        <w:rPr>
          <w:i/>
          <w:lang w:val="fr-FR"/>
        </w:rPr>
      </w:pPr>
      <w:r w:rsidRPr="00BB4B1A">
        <w:rPr>
          <w:i/>
          <w:lang w:val="fr-FR"/>
        </w:rPr>
        <w:t>Acti</w:t>
      </w:r>
      <w:r w:rsidR="00A956D3">
        <w:rPr>
          <w:i/>
          <w:lang w:val="fr-FR"/>
        </w:rPr>
        <w:t>vités</w:t>
      </w:r>
    </w:p>
    <w:p w14:paraId="428A3E38" w14:textId="77777777" w:rsidR="001C1F2B" w:rsidRPr="00BB4B1A" w:rsidRDefault="00902A73">
      <w:pPr>
        <w:pStyle w:val="ListParagraph"/>
        <w:numPr>
          <w:ilvl w:val="0"/>
          <w:numId w:val="6"/>
        </w:numPr>
        <w:spacing w:after="0"/>
        <w:rPr>
          <w:rFonts w:ascii="Calibri" w:eastAsia="Times New Roman" w:hAnsi="Calibri" w:cs="Times New Roman"/>
          <w:lang w:val="fr-FR" w:eastAsia="en-GB"/>
        </w:rPr>
      </w:pPr>
      <w:r>
        <w:rPr>
          <w:rFonts w:ascii="Calibri" w:eastAsia="Times New Roman" w:hAnsi="Calibri" w:cs="Times New Roman"/>
          <w:lang w:val="fr-FR" w:eastAsia="en-GB"/>
        </w:rPr>
        <w:t>Examiner dans quelle mesure les évaluations conjointes</w:t>
      </w:r>
      <w:r w:rsidR="006A4D14">
        <w:rPr>
          <w:rFonts w:ascii="Calibri" w:eastAsia="Times New Roman" w:hAnsi="Calibri" w:cs="Times New Roman"/>
          <w:lang w:val="fr-FR" w:eastAsia="en-GB"/>
        </w:rPr>
        <w:t>,</w:t>
      </w:r>
      <w:r>
        <w:rPr>
          <w:rFonts w:ascii="Calibri" w:eastAsia="Times New Roman" w:hAnsi="Calibri" w:cs="Times New Roman"/>
          <w:lang w:val="fr-FR" w:eastAsia="en-GB"/>
        </w:rPr>
        <w:t xml:space="preserve"> plutôt que séparées</w:t>
      </w:r>
      <w:r w:rsidR="006A4D14">
        <w:rPr>
          <w:rFonts w:ascii="Calibri" w:eastAsia="Times New Roman" w:hAnsi="Calibri" w:cs="Times New Roman"/>
          <w:lang w:val="fr-FR" w:eastAsia="en-GB"/>
        </w:rPr>
        <w:t>,</w:t>
      </w:r>
      <w:r>
        <w:rPr>
          <w:rFonts w:ascii="Calibri" w:eastAsia="Times New Roman" w:hAnsi="Calibri" w:cs="Times New Roman"/>
          <w:lang w:val="fr-FR" w:eastAsia="en-GB"/>
        </w:rPr>
        <w:t xml:space="preserve"> des stratégies nationales de santé </w:t>
      </w:r>
      <w:r w:rsidR="006A4D14">
        <w:rPr>
          <w:rFonts w:ascii="Calibri" w:eastAsia="Times New Roman" w:hAnsi="Calibri" w:cs="Times New Roman"/>
          <w:lang w:val="fr-FR" w:eastAsia="en-GB"/>
        </w:rPr>
        <w:t>s</w:t>
      </w:r>
      <w:r>
        <w:rPr>
          <w:rFonts w:ascii="Calibri" w:eastAsia="Times New Roman" w:hAnsi="Calibri" w:cs="Times New Roman"/>
          <w:lang w:val="fr-FR" w:eastAsia="en-GB"/>
        </w:rPr>
        <w:t xml:space="preserve">ont </w:t>
      </w:r>
      <w:r w:rsidR="006A4D14">
        <w:rPr>
          <w:rFonts w:ascii="Calibri" w:eastAsia="Times New Roman" w:hAnsi="Calibri" w:cs="Times New Roman"/>
          <w:lang w:val="fr-FR" w:eastAsia="en-GB"/>
        </w:rPr>
        <w:t xml:space="preserve">devenues la norme pour </w:t>
      </w:r>
      <w:r>
        <w:rPr>
          <w:rFonts w:ascii="Calibri" w:eastAsia="Times New Roman" w:hAnsi="Calibri" w:cs="Times New Roman"/>
          <w:lang w:val="fr-FR" w:eastAsia="en-GB"/>
        </w:rPr>
        <w:t xml:space="preserve">les institutions ; et obstacles et </w:t>
      </w:r>
      <w:r w:rsidR="006A4D14">
        <w:rPr>
          <w:rFonts w:ascii="Calibri" w:eastAsia="Times New Roman" w:hAnsi="Calibri" w:cs="Times New Roman"/>
          <w:lang w:val="fr-FR" w:eastAsia="en-GB"/>
        </w:rPr>
        <w:t xml:space="preserve">potentialités </w:t>
      </w:r>
      <w:r>
        <w:rPr>
          <w:rFonts w:ascii="Calibri" w:eastAsia="Times New Roman" w:hAnsi="Calibri" w:cs="Times New Roman"/>
          <w:lang w:val="fr-FR" w:eastAsia="en-GB"/>
        </w:rPr>
        <w:t xml:space="preserve">en 2014 </w:t>
      </w:r>
      <w:r w:rsidR="006A4D14">
        <w:rPr>
          <w:rFonts w:ascii="Calibri" w:eastAsia="Times New Roman" w:hAnsi="Calibri" w:cs="Times New Roman"/>
          <w:lang w:val="fr-FR" w:eastAsia="en-GB"/>
        </w:rPr>
        <w:t>pour progresser dans ce domaine.</w:t>
      </w:r>
      <w:r>
        <w:rPr>
          <w:rFonts w:ascii="Calibri" w:eastAsia="Times New Roman" w:hAnsi="Calibri" w:cs="Times New Roman"/>
          <w:lang w:val="fr-FR" w:eastAsia="en-GB"/>
        </w:rPr>
        <w:t xml:space="preserve"> Renforcer le message </w:t>
      </w:r>
      <w:r w:rsidR="006A4D14">
        <w:rPr>
          <w:rFonts w:ascii="Calibri" w:eastAsia="Times New Roman" w:hAnsi="Calibri" w:cs="Times New Roman"/>
          <w:lang w:val="fr-FR" w:eastAsia="en-GB"/>
        </w:rPr>
        <w:t xml:space="preserve">soulignant combien il est important de garantir des </w:t>
      </w:r>
      <w:r>
        <w:rPr>
          <w:rFonts w:ascii="Calibri" w:eastAsia="Times New Roman" w:hAnsi="Calibri" w:cs="Times New Roman"/>
          <w:lang w:val="fr-FR" w:eastAsia="en-GB"/>
        </w:rPr>
        <w:t>connexions entre les évaluations des stratégies sectorielles et des programmes. Liens avec le point A1 (auto-évaluations des institutions sur les sept comportements)</w:t>
      </w:r>
      <w:r w:rsidR="006A4D14">
        <w:rPr>
          <w:rFonts w:ascii="Calibri" w:eastAsia="Times New Roman" w:hAnsi="Calibri" w:cs="Times New Roman"/>
          <w:lang w:val="fr-FR" w:eastAsia="en-GB"/>
        </w:rPr>
        <w:t>.</w:t>
      </w:r>
    </w:p>
    <w:p w14:paraId="4C81C455" w14:textId="77777777" w:rsidR="00760F71" w:rsidRPr="00BB4B1A" w:rsidRDefault="00D338CC" w:rsidP="00760F71">
      <w:pPr>
        <w:shd w:val="clear" w:color="auto" w:fill="FFFFFF" w:themeFill="background1"/>
        <w:spacing w:after="0"/>
        <w:ind w:left="720"/>
        <w:rPr>
          <w:lang w:val="fr-FR"/>
        </w:rPr>
      </w:pPr>
      <w:r>
        <w:rPr>
          <w:lang w:val="fr-FR"/>
        </w:rPr>
        <w:t>Le s</w:t>
      </w:r>
      <w:r w:rsidR="00902A73">
        <w:rPr>
          <w:lang w:val="fr-FR"/>
        </w:rPr>
        <w:t xml:space="preserve">outien à la préparation des plans nationaux, </w:t>
      </w:r>
      <w:r w:rsidR="006A4D14">
        <w:rPr>
          <w:lang w:val="fr-FR"/>
        </w:rPr>
        <w:t xml:space="preserve">aux </w:t>
      </w:r>
      <w:r>
        <w:rPr>
          <w:lang w:val="fr-FR"/>
        </w:rPr>
        <w:t>évaluation</w:t>
      </w:r>
      <w:r w:rsidR="006A4D14">
        <w:rPr>
          <w:lang w:val="fr-FR"/>
        </w:rPr>
        <w:t>s</w:t>
      </w:r>
      <w:r>
        <w:rPr>
          <w:lang w:val="fr-FR"/>
        </w:rPr>
        <w:t xml:space="preserve"> conjointe</w:t>
      </w:r>
      <w:r w:rsidR="006A4D14">
        <w:rPr>
          <w:lang w:val="fr-FR"/>
        </w:rPr>
        <w:t>s</w:t>
      </w:r>
      <w:r>
        <w:rPr>
          <w:lang w:val="fr-FR"/>
        </w:rPr>
        <w:t xml:space="preserve"> et à l’élaboration de pactes sera mis en œuvre principalement par </w:t>
      </w:r>
      <w:r w:rsidR="006A4D14">
        <w:rPr>
          <w:lang w:val="fr-FR"/>
        </w:rPr>
        <w:t xml:space="preserve">le biais des collaborateurs </w:t>
      </w:r>
      <w:r>
        <w:rPr>
          <w:lang w:val="fr-FR"/>
        </w:rPr>
        <w:t xml:space="preserve">des institutions partenaires, </w:t>
      </w:r>
      <w:r w:rsidR="002C449E">
        <w:rPr>
          <w:lang w:val="fr-FR"/>
        </w:rPr>
        <w:t xml:space="preserve">aidés le cas échéant par </w:t>
      </w:r>
      <w:r w:rsidR="006A4D14">
        <w:rPr>
          <w:lang w:val="fr-FR"/>
        </w:rPr>
        <w:t xml:space="preserve">des </w:t>
      </w:r>
      <w:r>
        <w:rPr>
          <w:lang w:val="fr-FR"/>
        </w:rPr>
        <w:t>conseils de l’IHP+.</w:t>
      </w:r>
      <w:r w:rsidR="00760F71" w:rsidRPr="00BB4B1A">
        <w:rPr>
          <w:lang w:val="fr-FR"/>
        </w:rPr>
        <w:t xml:space="preserve"> </w:t>
      </w:r>
    </w:p>
    <w:p w14:paraId="2955D07D" w14:textId="77777777" w:rsidR="00BA67CE" w:rsidRPr="00BB4B1A" w:rsidRDefault="00BA67CE" w:rsidP="00834166">
      <w:pPr>
        <w:spacing w:after="0"/>
        <w:ind w:left="720"/>
        <w:rPr>
          <w:rFonts w:ascii="Calibri" w:eastAsia="Times New Roman" w:hAnsi="Calibri" w:cs="Times New Roman"/>
          <w:i/>
          <w:lang w:val="fr-FR" w:eastAsia="en-GB"/>
        </w:rPr>
      </w:pPr>
    </w:p>
    <w:p w14:paraId="5C2C1C8E" w14:textId="77777777" w:rsidR="00834166" w:rsidRPr="00BB4B1A" w:rsidRDefault="00D338CC" w:rsidP="00834166">
      <w:pPr>
        <w:spacing w:after="0"/>
        <w:ind w:left="720"/>
        <w:rPr>
          <w:rFonts w:ascii="Calibri" w:eastAsia="Times New Roman" w:hAnsi="Calibri" w:cs="Times New Roman"/>
          <w:i/>
          <w:lang w:val="fr-FR" w:eastAsia="en-GB"/>
        </w:rPr>
      </w:pPr>
      <w:r>
        <w:rPr>
          <w:rFonts w:ascii="Calibri" w:eastAsia="Times New Roman" w:hAnsi="Calibri" w:cs="Times New Roman"/>
          <w:i/>
          <w:lang w:val="fr-FR" w:eastAsia="en-GB"/>
        </w:rPr>
        <w:t>Repères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0"/>
        <w:gridCol w:w="1246"/>
      </w:tblGrid>
      <w:tr w:rsidR="006A4D14" w:rsidRPr="006A4D14" w14:paraId="6A79E124" w14:textId="77777777" w:rsidTr="006A4D14">
        <w:tc>
          <w:tcPr>
            <w:tcW w:w="7610" w:type="dxa"/>
          </w:tcPr>
          <w:p w14:paraId="235068ED" w14:textId="77777777" w:rsidR="006A4D14" w:rsidRPr="006A4D14" w:rsidRDefault="006A4D14" w:rsidP="001B6402">
            <w:pPr>
              <w:rPr>
                <w:rFonts w:ascii="Calibri" w:eastAsia="Times New Roman" w:hAnsi="Calibri" w:cs="Times New Roman"/>
                <w:lang w:val="fr-FR" w:eastAsia="en-GB"/>
              </w:rPr>
            </w:pPr>
            <w:r w:rsidRPr="006A4D14">
              <w:rPr>
                <w:rFonts w:ascii="Calibri" w:eastAsia="Times New Roman" w:hAnsi="Calibri" w:cs="Times New Roman"/>
                <w:lang w:val="fr-FR" w:eastAsia="en-GB"/>
              </w:rPr>
              <w:t>Adoption par les institutions d’approches conjointes à l’évaluation des plans nationaux de santé, et réduction des activités séparées documentée</w:t>
            </w:r>
            <w:r w:rsidR="002C449E">
              <w:rPr>
                <w:rFonts w:ascii="Calibri" w:eastAsia="Times New Roman" w:hAnsi="Calibri" w:cs="Times New Roman"/>
                <w:lang w:val="fr-FR" w:eastAsia="en-GB"/>
              </w:rPr>
              <w:t>s</w:t>
            </w:r>
          </w:p>
        </w:tc>
        <w:tc>
          <w:tcPr>
            <w:tcW w:w="1246" w:type="dxa"/>
          </w:tcPr>
          <w:p w14:paraId="5ED610CE" w14:textId="77777777" w:rsidR="006A4D14" w:rsidRDefault="006A4D14" w:rsidP="001B6402">
            <w:pPr>
              <w:rPr>
                <w:rFonts w:ascii="Calibri" w:eastAsia="Times New Roman" w:hAnsi="Calibri" w:cs="Times New Roman"/>
                <w:lang w:val="fr-FR" w:eastAsia="en-GB"/>
              </w:rPr>
            </w:pPr>
          </w:p>
          <w:p w14:paraId="554F9E54" w14:textId="77777777" w:rsidR="006A4D14" w:rsidRPr="006A4D14" w:rsidRDefault="006A4D14" w:rsidP="001B6402">
            <w:pPr>
              <w:rPr>
                <w:rFonts w:ascii="Calibri" w:eastAsia="Times New Roman" w:hAnsi="Calibri" w:cs="Times New Roman"/>
                <w:lang w:val="fr-FR" w:eastAsia="en-GB"/>
              </w:rPr>
            </w:pPr>
            <w:r w:rsidRPr="006A4D14">
              <w:rPr>
                <w:rFonts w:ascii="Calibri" w:eastAsia="Times New Roman" w:hAnsi="Calibri" w:cs="Times New Roman"/>
                <w:lang w:val="fr-FR" w:eastAsia="en-GB"/>
              </w:rPr>
              <w:t>2014</w:t>
            </w:r>
          </w:p>
        </w:tc>
      </w:tr>
    </w:tbl>
    <w:p w14:paraId="60BF201B" w14:textId="77777777" w:rsidR="00503F53" w:rsidRPr="00BB4B1A" w:rsidRDefault="00503F53" w:rsidP="00D20159">
      <w:pPr>
        <w:spacing w:after="0"/>
        <w:ind w:left="720"/>
        <w:rPr>
          <w:rFonts w:ascii="Calibri" w:eastAsia="Times New Roman" w:hAnsi="Calibri" w:cs="Times New Roman"/>
          <w:lang w:val="fr-FR" w:eastAsia="en-GB"/>
        </w:rPr>
      </w:pPr>
    </w:p>
    <w:p w14:paraId="1F3F9995" w14:textId="77777777" w:rsidR="001C3262" w:rsidRDefault="001C3262" w:rsidP="00D338CC">
      <w:pPr>
        <w:spacing w:after="0"/>
        <w:ind w:left="360"/>
        <w:rPr>
          <w:b/>
          <w:i/>
          <w:lang w:val="fr-FR"/>
        </w:rPr>
      </w:pPr>
      <w:r w:rsidRPr="00BB4B1A">
        <w:rPr>
          <w:rFonts w:ascii="Calibri" w:eastAsia="Times New Roman" w:hAnsi="Calibri" w:cs="Times New Roman"/>
          <w:lang w:val="fr-FR" w:eastAsia="en-GB"/>
        </w:rPr>
        <w:tab/>
      </w:r>
      <w:r w:rsidR="003905DA" w:rsidRPr="00BB4B1A">
        <w:rPr>
          <w:rFonts w:ascii="Calibri" w:eastAsia="Times New Roman" w:hAnsi="Calibri" w:cs="Times New Roman"/>
          <w:b/>
          <w:i/>
          <w:lang w:val="fr-FR" w:eastAsia="en-GB"/>
        </w:rPr>
        <w:t>B.</w:t>
      </w:r>
      <w:r w:rsidRPr="00BB4B1A">
        <w:rPr>
          <w:b/>
          <w:i/>
          <w:lang w:val="fr-FR"/>
        </w:rPr>
        <w:t>2.</w:t>
      </w:r>
      <w:r w:rsidR="00C553C6" w:rsidRPr="00BB4B1A">
        <w:rPr>
          <w:b/>
          <w:i/>
          <w:lang w:val="fr-FR"/>
        </w:rPr>
        <w:t>2</w:t>
      </w:r>
      <w:r w:rsidRPr="00BB4B1A">
        <w:rPr>
          <w:b/>
          <w:i/>
          <w:lang w:val="fr-FR"/>
        </w:rPr>
        <w:t xml:space="preserve"> </w:t>
      </w:r>
      <w:r w:rsidR="00D338CC">
        <w:rPr>
          <w:b/>
          <w:i/>
          <w:lang w:val="fr-FR"/>
        </w:rPr>
        <w:t>Amélior</w:t>
      </w:r>
      <w:r w:rsidR="00B747B1">
        <w:rPr>
          <w:b/>
          <w:i/>
          <w:lang w:val="fr-FR"/>
        </w:rPr>
        <w:t xml:space="preserve">er </w:t>
      </w:r>
      <w:r w:rsidR="00D338CC">
        <w:rPr>
          <w:b/>
          <w:i/>
          <w:lang w:val="fr-FR"/>
        </w:rPr>
        <w:t xml:space="preserve">la participation des OSC aux processus nationaux </w:t>
      </w:r>
      <w:r w:rsidR="00B747B1">
        <w:rPr>
          <w:b/>
          <w:i/>
          <w:lang w:val="fr-FR"/>
        </w:rPr>
        <w:t xml:space="preserve">en matière de </w:t>
      </w:r>
      <w:r w:rsidR="00D338CC">
        <w:rPr>
          <w:b/>
          <w:i/>
          <w:lang w:val="fr-FR"/>
        </w:rPr>
        <w:t>politique</w:t>
      </w:r>
      <w:r w:rsidR="00B747B1">
        <w:rPr>
          <w:b/>
          <w:i/>
          <w:lang w:val="fr-FR"/>
        </w:rPr>
        <w:t>s</w:t>
      </w:r>
      <w:r w:rsidR="00D338CC">
        <w:rPr>
          <w:b/>
          <w:i/>
          <w:lang w:val="fr-FR"/>
        </w:rPr>
        <w:t>, de suivi et de redevabilité</w:t>
      </w:r>
    </w:p>
    <w:p w14:paraId="65F3A093" w14:textId="77777777" w:rsidR="00D338CC" w:rsidRPr="00BB4B1A" w:rsidRDefault="00D338CC" w:rsidP="00D338CC">
      <w:pPr>
        <w:spacing w:after="0"/>
        <w:ind w:left="360"/>
        <w:rPr>
          <w:lang w:val="fr-FR"/>
        </w:rPr>
      </w:pPr>
    </w:p>
    <w:p w14:paraId="4E641120" w14:textId="77777777" w:rsidR="001C3262" w:rsidRPr="00BB4B1A" w:rsidRDefault="001C3262" w:rsidP="00890788">
      <w:pPr>
        <w:shd w:val="clear" w:color="auto" w:fill="FFFFFF" w:themeFill="background1"/>
        <w:spacing w:after="0"/>
        <w:ind w:firstLine="720"/>
        <w:rPr>
          <w:i/>
          <w:lang w:val="fr-FR"/>
        </w:rPr>
      </w:pPr>
      <w:r w:rsidRPr="00BB4B1A">
        <w:rPr>
          <w:i/>
          <w:lang w:val="fr-FR"/>
        </w:rPr>
        <w:t>Acti</w:t>
      </w:r>
      <w:r w:rsidR="00D338CC">
        <w:rPr>
          <w:i/>
          <w:lang w:val="fr-FR"/>
        </w:rPr>
        <w:t>vités</w:t>
      </w:r>
    </w:p>
    <w:p w14:paraId="6FF1DDC7" w14:textId="77777777" w:rsidR="004B2FDC" w:rsidRPr="00BB4B1A" w:rsidRDefault="00D338CC" w:rsidP="001C3262">
      <w:pPr>
        <w:pStyle w:val="ListParagraph"/>
        <w:numPr>
          <w:ilvl w:val="0"/>
          <w:numId w:val="6"/>
        </w:numPr>
        <w:spacing w:after="0"/>
        <w:rPr>
          <w:rFonts w:ascii="Calibri" w:eastAsia="Times New Roman" w:hAnsi="Calibri" w:cs="Times New Roman"/>
          <w:lang w:val="fr-FR" w:eastAsia="en-GB"/>
        </w:rPr>
      </w:pPr>
      <w:r>
        <w:rPr>
          <w:rFonts w:ascii="Calibri" w:eastAsia="Times New Roman" w:hAnsi="Calibri" w:cs="Times New Roman"/>
          <w:lang w:val="fr-FR" w:eastAsia="en-GB"/>
        </w:rPr>
        <w:t xml:space="preserve">Discussion des modifications stratégiques </w:t>
      </w:r>
      <w:r w:rsidR="00002133">
        <w:rPr>
          <w:rFonts w:ascii="Calibri" w:eastAsia="Times New Roman" w:hAnsi="Calibri" w:cs="Times New Roman"/>
          <w:lang w:val="fr-FR" w:eastAsia="en-GB"/>
        </w:rPr>
        <w:t>de</w:t>
      </w:r>
      <w:r>
        <w:rPr>
          <w:rFonts w:ascii="Calibri" w:eastAsia="Times New Roman" w:hAnsi="Calibri" w:cs="Times New Roman"/>
          <w:lang w:val="fr-FR" w:eastAsia="en-GB"/>
        </w:rPr>
        <w:t xml:space="preserve"> l’approche actuelle relative au programme de petites allocations </w:t>
      </w:r>
      <w:r w:rsidR="00002133">
        <w:rPr>
          <w:rFonts w:ascii="Calibri" w:eastAsia="Times New Roman" w:hAnsi="Calibri" w:cs="Times New Roman"/>
          <w:lang w:val="fr-FR" w:eastAsia="en-GB"/>
        </w:rPr>
        <w:t xml:space="preserve">versées </w:t>
      </w:r>
      <w:r>
        <w:rPr>
          <w:rFonts w:ascii="Calibri" w:eastAsia="Times New Roman" w:hAnsi="Calibri" w:cs="Times New Roman"/>
          <w:lang w:val="fr-FR" w:eastAsia="en-GB"/>
        </w:rPr>
        <w:t xml:space="preserve">aux OSC nationales, sur la base de l’examen récent, et élaboration d’options pour le futur soutien aux OSC ; </w:t>
      </w:r>
      <w:r w:rsidR="002C449E">
        <w:rPr>
          <w:rFonts w:ascii="Calibri" w:eastAsia="Times New Roman" w:hAnsi="Calibri" w:cs="Times New Roman"/>
          <w:lang w:val="fr-FR" w:eastAsia="en-GB"/>
        </w:rPr>
        <w:t xml:space="preserve">prolongation </w:t>
      </w:r>
      <w:r>
        <w:rPr>
          <w:rFonts w:ascii="Calibri" w:eastAsia="Times New Roman" w:hAnsi="Calibri" w:cs="Times New Roman"/>
          <w:lang w:val="fr-FR" w:eastAsia="en-GB"/>
        </w:rPr>
        <w:t xml:space="preserve">temporaire du programme actuel jusqu’à </w:t>
      </w:r>
      <w:r w:rsidR="002C449E">
        <w:rPr>
          <w:rFonts w:ascii="Calibri" w:eastAsia="Times New Roman" w:hAnsi="Calibri" w:cs="Times New Roman"/>
          <w:lang w:val="fr-FR" w:eastAsia="en-GB"/>
        </w:rPr>
        <w:t xml:space="preserve">la mise au point de </w:t>
      </w:r>
      <w:r>
        <w:rPr>
          <w:rFonts w:ascii="Calibri" w:eastAsia="Times New Roman" w:hAnsi="Calibri" w:cs="Times New Roman"/>
          <w:lang w:val="fr-FR" w:eastAsia="en-GB"/>
        </w:rPr>
        <w:t>la nouvelle approche</w:t>
      </w:r>
      <w:r w:rsidR="00002133">
        <w:rPr>
          <w:rFonts w:ascii="Calibri" w:eastAsia="Times New Roman" w:hAnsi="Calibri" w:cs="Times New Roman"/>
          <w:lang w:val="fr-FR" w:eastAsia="en-GB"/>
        </w:rPr>
        <w:t>.</w:t>
      </w:r>
    </w:p>
    <w:p w14:paraId="2CD5FD60" w14:textId="77777777" w:rsidR="00890788" w:rsidRPr="00BB4B1A" w:rsidRDefault="00D338CC" w:rsidP="001C3262">
      <w:pPr>
        <w:pStyle w:val="ListParagraph"/>
        <w:numPr>
          <w:ilvl w:val="0"/>
          <w:numId w:val="6"/>
        </w:numPr>
        <w:spacing w:after="0"/>
        <w:rPr>
          <w:rFonts w:ascii="Calibri" w:eastAsia="Times New Roman" w:hAnsi="Calibri" w:cs="Times New Roman"/>
          <w:lang w:val="fr-FR" w:eastAsia="en-GB"/>
        </w:rPr>
      </w:pPr>
      <w:r>
        <w:rPr>
          <w:rFonts w:ascii="Calibri" w:eastAsia="Times New Roman" w:hAnsi="Calibri" w:cs="Times New Roman"/>
          <w:lang w:val="fr-FR" w:eastAsia="en-GB"/>
        </w:rPr>
        <w:t>Définition d’une s</w:t>
      </w:r>
      <w:r w:rsidR="00890788" w:rsidRPr="00BB4B1A">
        <w:rPr>
          <w:rFonts w:ascii="Calibri" w:eastAsia="Times New Roman" w:hAnsi="Calibri" w:cs="Times New Roman"/>
          <w:lang w:val="fr-FR" w:eastAsia="en-GB"/>
        </w:rPr>
        <w:t>trat</w:t>
      </w:r>
      <w:r>
        <w:rPr>
          <w:rFonts w:ascii="Calibri" w:eastAsia="Times New Roman" w:hAnsi="Calibri" w:cs="Times New Roman"/>
          <w:lang w:val="fr-FR" w:eastAsia="en-GB"/>
        </w:rPr>
        <w:t xml:space="preserve">égie pour documenter et diffuser l’expérience dans l’amélioration de la participation de la société civile, par exemple par le biais du Groupe consultatif de l’IHP+ sur </w:t>
      </w:r>
      <w:r>
        <w:rPr>
          <w:rFonts w:ascii="Calibri" w:eastAsia="Times New Roman" w:hAnsi="Calibri" w:cs="Times New Roman"/>
          <w:lang w:val="fr-FR" w:eastAsia="en-GB"/>
        </w:rPr>
        <w:lastRenderedPageBreak/>
        <w:t>la société civile et d’autres voies qui atteindront un éventail plus large d’OSC du Sud et du Nord</w:t>
      </w:r>
      <w:r w:rsidR="00002133">
        <w:rPr>
          <w:rFonts w:ascii="Calibri" w:eastAsia="Times New Roman" w:hAnsi="Calibri" w:cs="Times New Roman"/>
          <w:lang w:val="fr-FR" w:eastAsia="en-GB"/>
        </w:rPr>
        <w:t>.</w:t>
      </w:r>
    </w:p>
    <w:p w14:paraId="28661CE0" w14:textId="77777777" w:rsidR="001C3262" w:rsidRPr="00BB4B1A" w:rsidRDefault="00D338CC" w:rsidP="00890788">
      <w:pPr>
        <w:spacing w:after="0"/>
        <w:ind w:left="360" w:firstLine="360"/>
        <w:rPr>
          <w:rFonts w:ascii="Calibri" w:eastAsia="Times New Roman" w:hAnsi="Calibri" w:cs="Times New Roman"/>
          <w:i/>
          <w:lang w:val="fr-FR" w:eastAsia="en-GB"/>
        </w:rPr>
      </w:pPr>
      <w:r>
        <w:rPr>
          <w:rFonts w:ascii="Calibri" w:eastAsia="Times New Roman" w:hAnsi="Calibri" w:cs="Times New Roman"/>
          <w:i/>
          <w:lang w:val="fr-FR" w:eastAsia="en-GB"/>
        </w:rPr>
        <w:t>Repères</w:t>
      </w:r>
    </w:p>
    <w:p w14:paraId="706E7E69" w14:textId="77777777" w:rsidR="00002133" w:rsidRDefault="00710833" w:rsidP="00DC4C77">
      <w:pPr>
        <w:spacing w:after="0"/>
        <w:ind w:left="360"/>
        <w:rPr>
          <w:rFonts w:ascii="Calibri" w:eastAsia="Times New Roman" w:hAnsi="Calibri" w:cs="Times New Roman"/>
          <w:lang w:val="fr-FR" w:eastAsia="en-GB"/>
        </w:rPr>
      </w:pPr>
      <w:r w:rsidRPr="00BB4B1A">
        <w:rPr>
          <w:rFonts w:ascii="Calibri" w:eastAsia="Times New Roman" w:hAnsi="Calibri" w:cs="Times New Roman"/>
          <w:lang w:val="fr-FR" w:eastAsia="en-GB"/>
        </w:rPr>
        <w:tab/>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955"/>
      </w:tblGrid>
      <w:tr w:rsidR="00002133" w:rsidRPr="00002133" w14:paraId="6125546D" w14:textId="77777777" w:rsidTr="00002133">
        <w:tc>
          <w:tcPr>
            <w:tcW w:w="6804" w:type="dxa"/>
          </w:tcPr>
          <w:p w14:paraId="59F47575" w14:textId="77777777" w:rsidR="00002133" w:rsidRPr="00002133" w:rsidRDefault="00002133" w:rsidP="00695B14">
            <w:pPr>
              <w:rPr>
                <w:rFonts w:ascii="Calibri" w:eastAsia="Times New Roman" w:hAnsi="Calibri" w:cs="Times New Roman"/>
                <w:lang w:val="fr-FR" w:eastAsia="en-GB"/>
              </w:rPr>
            </w:pPr>
            <w:r w:rsidRPr="00002133">
              <w:rPr>
                <w:rFonts w:ascii="Calibri" w:eastAsia="Times New Roman" w:hAnsi="Calibri" w:cs="Times New Roman"/>
                <w:lang w:val="fr-FR" w:eastAsia="en-GB"/>
              </w:rPr>
              <w:t>Mise en commun des options pour le soutien futur aux OSC nationales</w:t>
            </w:r>
          </w:p>
        </w:tc>
        <w:tc>
          <w:tcPr>
            <w:tcW w:w="1955" w:type="dxa"/>
          </w:tcPr>
          <w:p w14:paraId="124AF853" w14:textId="77777777" w:rsidR="00002133" w:rsidRPr="00002133" w:rsidRDefault="00002133" w:rsidP="00695B14">
            <w:pPr>
              <w:rPr>
                <w:rFonts w:ascii="Calibri" w:eastAsia="Times New Roman" w:hAnsi="Calibri" w:cs="Times New Roman"/>
                <w:lang w:val="fr-FR" w:eastAsia="en-GB"/>
              </w:rPr>
            </w:pPr>
            <w:r w:rsidRPr="00002133">
              <w:rPr>
                <w:rFonts w:ascii="Calibri" w:eastAsia="Times New Roman" w:hAnsi="Calibri" w:cs="Times New Roman"/>
                <w:lang w:val="fr-FR" w:eastAsia="en-GB"/>
              </w:rPr>
              <w:t>1</w:t>
            </w:r>
            <w:r w:rsidRPr="00002133">
              <w:rPr>
                <w:rFonts w:ascii="Calibri" w:eastAsia="Times New Roman" w:hAnsi="Calibri" w:cs="Times New Roman"/>
                <w:vertAlign w:val="superscript"/>
                <w:lang w:val="fr-FR" w:eastAsia="en-GB"/>
              </w:rPr>
              <w:t>er</w:t>
            </w:r>
            <w:r w:rsidRPr="00002133">
              <w:rPr>
                <w:rFonts w:ascii="Calibri" w:eastAsia="Times New Roman" w:hAnsi="Calibri" w:cs="Times New Roman"/>
                <w:lang w:val="fr-FR" w:eastAsia="en-GB"/>
              </w:rPr>
              <w:t xml:space="preserve"> trimestre 2014</w:t>
            </w:r>
          </w:p>
        </w:tc>
      </w:tr>
      <w:tr w:rsidR="00002133" w:rsidRPr="00002133" w14:paraId="47DBE0DC" w14:textId="77777777" w:rsidTr="00002133">
        <w:tc>
          <w:tcPr>
            <w:tcW w:w="6804" w:type="dxa"/>
          </w:tcPr>
          <w:p w14:paraId="7024D65A" w14:textId="77777777" w:rsidR="00002133" w:rsidRPr="00002133" w:rsidRDefault="00002133" w:rsidP="00695B14">
            <w:pPr>
              <w:rPr>
                <w:rFonts w:ascii="Calibri" w:eastAsia="Times New Roman" w:hAnsi="Calibri" w:cs="Times New Roman"/>
                <w:lang w:val="fr-FR" w:eastAsia="en-GB"/>
              </w:rPr>
            </w:pPr>
            <w:r w:rsidRPr="00002133">
              <w:rPr>
                <w:rFonts w:ascii="Calibri" w:eastAsia="Times New Roman" w:hAnsi="Calibri" w:cs="Times New Roman"/>
                <w:lang w:val="fr-FR" w:eastAsia="en-GB"/>
              </w:rPr>
              <w:t>Stratégie pour une diffusion plus systématique de l’expérience</w:t>
            </w:r>
          </w:p>
        </w:tc>
        <w:tc>
          <w:tcPr>
            <w:tcW w:w="1955" w:type="dxa"/>
          </w:tcPr>
          <w:p w14:paraId="50402518" w14:textId="77777777" w:rsidR="00002133" w:rsidRPr="00002133" w:rsidRDefault="00002133" w:rsidP="00695B14">
            <w:pPr>
              <w:rPr>
                <w:rFonts w:ascii="Calibri" w:eastAsia="Times New Roman" w:hAnsi="Calibri" w:cs="Times New Roman"/>
                <w:lang w:val="fr-FR" w:eastAsia="en-GB"/>
              </w:rPr>
            </w:pPr>
            <w:r w:rsidRPr="00002133">
              <w:rPr>
                <w:rFonts w:ascii="Calibri" w:eastAsia="Times New Roman" w:hAnsi="Calibri" w:cs="Times New Roman"/>
                <w:lang w:val="fr-FR" w:eastAsia="en-GB"/>
              </w:rPr>
              <w:t>1</w:t>
            </w:r>
            <w:r w:rsidRPr="00002133">
              <w:rPr>
                <w:rFonts w:ascii="Calibri" w:eastAsia="Times New Roman" w:hAnsi="Calibri" w:cs="Times New Roman"/>
                <w:vertAlign w:val="superscript"/>
                <w:lang w:val="fr-FR" w:eastAsia="en-GB"/>
              </w:rPr>
              <w:t>er</w:t>
            </w:r>
            <w:r w:rsidRPr="00002133">
              <w:rPr>
                <w:rFonts w:ascii="Calibri" w:eastAsia="Times New Roman" w:hAnsi="Calibri" w:cs="Times New Roman"/>
                <w:lang w:val="fr-FR" w:eastAsia="en-GB"/>
              </w:rPr>
              <w:t xml:space="preserve"> trimestre 2014</w:t>
            </w:r>
          </w:p>
        </w:tc>
      </w:tr>
      <w:tr w:rsidR="00002133" w:rsidRPr="00002133" w14:paraId="76295628" w14:textId="77777777" w:rsidTr="00002133">
        <w:tc>
          <w:tcPr>
            <w:tcW w:w="6804" w:type="dxa"/>
          </w:tcPr>
          <w:p w14:paraId="594E3B47" w14:textId="77777777" w:rsidR="00002133" w:rsidRPr="00002133" w:rsidRDefault="00002133" w:rsidP="00002133">
            <w:pPr>
              <w:rPr>
                <w:rFonts w:ascii="Calibri" w:eastAsia="Times New Roman" w:hAnsi="Calibri" w:cs="Times New Roman"/>
                <w:lang w:val="fr-FR" w:eastAsia="en-GB"/>
              </w:rPr>
            </w:pPr>
            <w:r w:rsidRPr="00002133">
              <w:rPr>
                <w:rFonts w:ascii="Calibri" w:eastAsia="Times New Roman" w:hAnsi="Calibri" w:cs="Times New Roman"/>
                <w:lang w:val="fr-FR" w:eastAsia="en-GB"/>
              </w:rPr>
              <w:t xml:space="preserve">Proposition de soutien futur présentée à la </w:t>
            </w:r>
            <w:r>
              <w:rPr>
                <w:rFonts w:ascii="Calibri" w:eastAsia="Times New Roman" w:hAnsi="Calibri" w:cs="Times New Roman"/>
                <w:lang w:val="fr-FR" w:eastAsia="en-GB"/>
              </w:rPr>
              <w:t>deuxième</w:t>
            </w:r>
            <w:r w:rsidRPr="00002133">
              <w:rPr>
                <w:rFonts w:ascii="Calibri" w:eastAsia="Times New Roman" w:hAnsi="Calibri" w:cs="Times New Roman"/>
                <w:lang w:val="fr-FR" w:eastAsia="en-GB"/>
              </w:rPr>
              <w:t xml:space="preserve"> réunion du Comité directeur</w:t>
            </w:r>
          </w:p>
        </w:tc>
        <w:tc>
          <w:tcPr>
            <w:tcW w:w="1955" w:type="dxa"/>
          </w:tcPr>
          <w:p w14:paraId="2944E717" w14:textId="77777777" w:rsidR="00002133" w:rsidRDefault="00002133" w:rsidP="00695B14">
            <w:pPr>
              <w:rPr>
                <w:rFonts w:ascii="Calibri" w:eastAsia="Times New Roman" w:hAnsi="Calibri" w:cs="Times New Roman"/>
                <w:lang w:val="fr-FR" w:eastAsia="en-GB"/>
              </w:rPr>
            </w:pPr>
          </w:p>
          <w:p w14:paraId="53621E18" w14:textId="77777777" w:rsidR="00002133" w:rsidRPr="00002133" w:rsidRDefault="00002133" w:rsidP="00695B14">
            <w:pPr>
              <w:rPr>
                <w:rFonts w:ascii="Calibri" w:eastAsia="Times New Roman" w:hAnsi="Calibri" w:cs="Times New Roman"/>
                <w:lang w:val="fr-FR" w:eastAsia="en-GB"/>
              </w:rPr>
            </w:pPr>
            <w:r w:rsidRPr="00002133">
              <w:rPr>
                <w:rFonts w:ascii="Calibri" w:eastAsia="Times New Roman" w:hAnsi="Calibri" w:cs="Times New Roman"/>
                <w:lang w:val="fr-FR" w:eastAsia="en-GB"/>
              </w:rPr>
              <w:t>4</w:t>
            </w:r>
            <w:r w:rsidRPr="00002133">
              <w:rPr>
                <w:rFonts w:ascii="Calibri" w:eastAsia="Times New Roman" w:hAnsi="Calibri" w:cs="Times New Roman"/>
                <w:vertAlign w:val="superscript"/>
                <w:lang w:val="fr-FR" w:eastAsia="en-GB"/>
              </w:rPr>
              <w:t>e</w:t>
            </w:r>
            <w:r w:rsidRPr="00002133">
              <w:rPr>
                <w:rFonts w:ascii="Calibri" w:eastAsia="Times New Roman" w:hAnsi="Calibri" w:cs="Times New Roman"/>
                <w:lang w:val="fr-FR" w:eastAsia="en-GB"/>
              </w:rPr>
              <w:t xml:space="preserve"> trimestre 2014</w:t>
            </w:r>
          </w:p>
        </w:tc>
      </w:tr>
    </w:tbl>
    <w:p w14:paraId="2ADB3BC3" w14:textId="77777777" w:rsidR="00A20B92" w:rsidRPr="00BB4B1A" w:rsidRDefault="00A20B92" w:rsidP="00A20B92">
      <w:pPr>
        <w:spacing w:after="0"/>
        <w:rPr>
          <w:b/>
          <w:i/>
          <w:lang w:val="fr-FR"/>
        </w:rPr>
      </w:pPr>
    </w:p>
    <w:p w14:paraId="37906BCD" w14:textId="77777777" w:rsidR="00A20B92" w:rsidRPr="00BB4B1A" w:rsidRDefault="00A20B92" w:rsidP="00A20B92">
      <w:pPr>
        <w:spacing w:after="0"/>
        <w:rPr>
          <w:b/>
          <w:i/>
          <w:lang w:val="fr-FR"/>
        </w:rPr>
      </w:pPr>
      <w:r w:rsidRPr="00BB4B1A">
        <w:rPr>
          <w:b/>
          <w:i/>
          <w:lang w:val="fr-FR"/>
        </w:rPr>
        <w:tab/>
      </w:r>
      <w:r w:rsidR="003905DA" w:rsidRPr="00BB4B1A">
        <w:rPr>
          <w:b/>
          <w:i/>
          <w:lang w:val="fr-FR"/>
        </w:rPr>
        <w:t>B.</w:t>
      </w:r>
      <w:r w:rsidRPr="00BB4B1A">
        <w:rPr>
          <w:b/>
          <w:i/>
          <w:lang w:val="fr-FR"/>
        </w:rPr>
        <w:t xml:space="preserve">2.3 </w:t>
      </w:r>
      <w:r w:rsidR="00D338CC">
        <w:rPr>
          <w:b/>
          <w:i/>
          <w:lang w:val="fr-FR"/>
        </w:rPr>
        <w:t>Passation des marchés</w:t>
      </w:r>
    </w:p>
    <w:p w14:paraId="3A8467A6" w14:textId="77777777" w:rsidR="00A20B92" w:rsidRPr="00BB4B1A" w:rsidRDefault="00A20B92" w:rsidP="00A20B92">
      <w:pPr>
        <w:spacing w:after="0"/>
        <w:rPr>
          <w:b/>
          <w:lang w:val="fr-FR"/>
        </w:rPr>
      </w:pPr>
      <w:r w:rsidRPr="00BB4B1A">
        <w:rPr>
          <w:b/>
          <w:lang w:val="fr-FR"/>
        </w:rPr>
        <w:tab/>
      </w:r>
    </w:p>
    <w:p w14:paraId="04890C6C" w14:textId="77777777" w:rsidR="00A20B92" w:rsidRPr="00BB4B1A" w:rsidRDefault="00A20B92" w:rsidP="00A20B92">
      <w:pPr>
        <w:spacing w:after="0"/>
        <w:rPr>
          <w:i/>
          <w:lang w:val="fr-FR"/>
        </w:rPr>
      </w:pPr>
      <w:r w:rsidRPr="00BB4B1A">
        <w:rPr>
          <w:i/>
          <w:lang w:val="fr-FR"/>
        </w:rPr>
        <w:tab/>
        <w:t>Acti</w:t>
      </w:r>
      <w:r w:rsidR="00D338CC">
        <w:rPr>
          <w:i/>
          <w:lang w:val="fr-FR"/>
        </w:rPr>
        <w:t>vité</w:t>
      </w:r>
    </w:p>
    <w:p w14:paraId="18AE38CB" w14:textId="77777777" w:rsidR="00A20B92" w:rsidRPr="00BB4B1A" w:rsidRDefault="00002133" w:rsidP="00A20B92">
      <w:pPr>
        <w:pStyle w:val="ListParagraph"/>
        <w:numPr>
          <w:ilvl w:val="0"/>
          <w:numId w:val="36"/>
        </w:numPr>
        <w:spacing w:after="0"/>
        <w:rPr>
          <w:lang w:val="fr-FR"/>
        </w:rPr>
      </w:pPr>
      <w:r>
        <w:rPr>
          <w:lang w:val="fr-FR"/>
        </w:rPr>
        <w:t xml:space="preserve">Poursuite des </w:t>
      </w:r>
      <w:r w:rsidR="00D338CC">
        <w:rPr>
          <w:lang w:val="fr-FR"/>
        </w:rPr>
        <w:t>discussions sur la valeur ajoutée de l’IHP+ pour promouvoir les évaluations collectives des institutions de passation de</w:t>
      </w:r>
      <w:r w:rsidR="002C449E">
        <w:rPr>
          <w:lang w:val="fr-FR"/>
        </w:rPr>
        <w:t>s</w:t>
      </w:r>
      <w:r w:rsidR="00D338CC">
        <w:rPr>
          <w:lang w:val="fr-FR"/>
        </w:rPr>
        <w:t xml:space="preserve"> marchés en utilisan</w:t>
      </w:r>
      <w:r>
        <w:rPr>
          <w:lang w:val="fr-FR"/>
        </w:rPr>
        <w:t>t</w:t>
      </w:r>
      <w:r w:rsidR="00D338CC">
        <w:rPr>
          <w:lang w:val="fr-FR"/>
        </w:rPr>
        <w:t xml:space="preserve"> l’o</w:t>
      </w:r>
      <w:r w:rsidR="00AC52A7">
        <w:rPr>
          <w:lang w:val="fr-FR"/>
        </w:rPr>
        <w:t>util du modèle de gestion de la qualité (MQAS) avec les institutions intéressées (OMS, Banque mondiale, Communauté européenne, FNUAP, UNICEF)</w:t>
      </w:r>
      <w:r>
        <w:rPr>
          <w:lang w:val="fr-FR"/>
        </w:rPr>
        <w:t>.</w:t>
      </w:r>
    </w:p>
    <w:p w14:paraId="6EC58801" w14:textId="77777777" w:rsidR="00002133" w:rsidRDefault="00A20B92" w:rsidP="00A20B92">
      <w:pPr>
        <w:spacing w:after="0"/>
        <w:rPr>
          <w:i/>
          <w:lang w:val="fr-FR"/>
        </w:rPr>
      </w:pPr>
      <w:r w:rsidRPr="00BB4B1A">
        <w:rPr>
          <w:i/>
          <w:lang w:val="fr-FR"/>
        </w:rPr>
        <w:tab/>
      </w:r>
      <w:r w:rsidR="00AC52A7">
        <w:rPr>
          <w:i/>
          <w:lang w:val="fr-FR"/>
        </w:rPr>
        <w:t>Repère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595"/>
      </w:tblGrid>
      <w:tr w:rsidR="00002133" w:rsidRPr="00002133" w14:paraId="17F404E1" w14:textId="77777777" w:rsidTr="00002133">
        <w:tc>
          <w:tcPr>
            <w:tcW w:w="7088" w:type="dxa"/>
          </w:tcPr>
          <w:p w14:paraId="2AFF7A69" w14:textId="77777777" w:rsidR="00002133" w:rsidRPr="00002133" w:rsidRDefault="00002133" w:rsidP="00A06D4A">
            <w:pPr>
              <w:rPr>
                <w:lang w:val="fr-FR"/>
              </w:rPr>
            </w:pPr>
            <w:r w:rsidRPr="00002133">
              <w:rPr>
                <w:lang w:val="fr-FR"/>
              </w:rPr>
              <w:t>Décision sur toute mesure qui sera proposée</w:t>
            </w:r>
          </w:p>
        </w:tc>
        <w:tc>
          <w:tcPr>
            <w:tcW w:w="1595" w:type="dxa"/>
          </w:tcPr>
          <w:p w14:paraId="2607E54A" w14:textId="77777777" w:rsidR="00002133" w:rsidRPr="00002133" w:rsidRDefault="00002133" w:rsidP="00A06D4A">
            <w:pPr>
              <w:rPr>
                <w:lang w:val="fr-FR"/>
              </w:rPr>
            </w:pPr>
            <w:r w:rsidRPr="00002133">
              <w:rPr>
                <w:lang w:val="fr-FR"/>
              </w:rPr>
              <w:t>fin mars 2014</w:t>
            </w:r>
          </w:p>
        </w:tc>
      </w:tr>
    </w:tbl>
    <w:p w14:paraId="076BD9AC" w14:textId="77777777" w:rsidR="00710833" w:rsidRPr="00BB4B1A" w:rsidRDefault="00710833" w:rsidP="00DC4C77">
      <w:pPr>
        <w:spacing w:after="0"/>
        <w:ind w:left="360"/>
        <w:rPr>
          <w:rFonts w:ascii="Calibri" w:eastAsia="Times New Roman" w:hAnsi="Calibri" w:cs="Times New Roman"/>
          <w:lang w:val="fr-FR" w:eastAsia="en-GB"/>
        </w:rPr>
      </w:pPr>
    </w:p>
    <w:p w14:paraId="4F8A5C39" w14:textId="77777777" w:rsidR="001C3262" w:rsidRPr="00BB4B1A" w:rsidRDefault="003905DA" w:rsidP="00F83FC1">
      <w:pPr>
        <w:spacing w:after="0"/>
        <w:ind w:left="360"/>
        <w:rPr>
          <w:rFonts w:ascii="Calibri" w:eastAsia="Times New Roman" w:hAnsi="Calibri" w:cs="Times New Roman"/>
          <w:b/>
          <w:sz w:val="24"/>
          <w:szCs w:val="24"/>
          <w:lang w:val="fr-FR" w:eastAsia="en-GB"/>
        </w:rPr>
      </w:pPr>
      <w:r w:rsidRPr="00BB4B1A">
        <w:rPr>
          <w:rFonts w:ascii="Calibri" w:eastAsia="Times New Roman" w:hAnsi="Calibri" w:cs="Times New Roman"/>
          <w:b/>
          <w:sz w:val="24"/>
          <w:szCs w:val="24"/>
          <w:lang w:val="fr-FR" w:eastAsia="en-GB"/>
        </w:rPr>
        <w:t xml:space="preserve">B.3 </w:t>
      </w:r>
      <w:r w:rsidR="00A529FA" w:rsidRPr="00BB4B1A">
        <w:rPr>
          <w:rFonts w:ascii="Calibri" w:eastAsia="Times New Roman" w:hAnsi="Calibri" w:cs="Times New Roman"/>
          <w:b/>
          <w:sz w:val="24"/>
          <w:szCs w:val="24"/>
          <w:lang w:val="fr-FR" w:eastAsia="en-GB"/>
        </w:rPr>
        <w:t>N</w:t>
      </w:r>
      <w:r w:rsidR="00AC52A7">
        <w:rPr>
          <w:rFonts w:ascii="Calibri" w:eastAsia="Times New Roman" w:hAnsi="Calibri" w:cs="Times New Roman"/>
          <w:b/>
          <w:sz w:val="24"/>
          <w:szCs w:val="24"/>
          <w:lang w:val="fr-FR" w:eastAsia="en-GB"/>
        </w:rPr>
        <w:t>ouveaux domaines de travail</w:t>
      </w:r>
    </w:p>
    <w:p w14:paraId="0A00CE27" w14:textId="77777777" w:rsidR="001C3262" w:rsidRPr="00BB4B1A" w:rsidRDefault="001C3262" w:rsidP="00DC4C77">
      <w:pPr>
        <w:spacing w:after="0"/>
        <w:ind w:left="360"/>
        <w:rPr>
          <w:rFonts w:ascii="Calibri" w:eastAsia="Times New Roman" w:hAnsi="Calibri" w:cs="Times New Roman"/>
          <w:lang w:val="fr-FR" w:eastAsia="en-GB"/>
        </w:rPr>
      </w:pPr>
    </w:p>
    <w:p w14:paraId="5BF160AB" w14:textId="77777777" w:rsidR="00CF5C64" w:rsidRPr="00BB4B1A" w:rsidRDefault="003905DA" w:rsidP="00AB614F">
      <w:pPr>
        <w:spacing w:after="0"/>
        <w:ind w:left="360"/>
        <w:rPr>
          <w:b/>
          <w:i/>
          <w:lang w:val="fr-FR"/>
        </w:rPr>
      </w:pPr>
      <w:r w:rsidRPr="00BB4B1A">
        <w:rPr>
          <w:b/>
          <w:i/>
          <w:lang w:val="fr-FR"/>
        </w:rPr>
        <w:t>B.</w:t>
      </w:r>
      <w:r w:rsidR="00C553C6" w:rsidRPr="00BB4B1A">
        <w:rPr>
          <w:b/>
          <w:i/>
          <w:lang w:val="fr-FR"/>
        </w:rPr>
        <w:t>3.1</w:t>
      </w:r>
      <w:r w:rsidR="00AB614F" w:rsidRPr="00BB4B1A">
        <w:rPr>
          <w:b/>
          <w:i/>
          <w:lang w:val="fr-FR"/>
        </w:rPr>
        <w:t xml:space="preserve"> </w:t>
      </w:r>
      <w:r w:rsidR="00AC52A7">
        <w:rPr>
          <w:b/>
          <w:i/>
          <w:lang w:val="fr-FR"/>
        </w:rPr>
        <w:t xml:space="preserve">Coopération </w:t>
      </w:r>
      <w:r w:rsidR="00002133">
        <w:rPr>
          <w:b/>
          <w:i/>
          <w:lang w:val="fr-FR"/>
        </w:rPr>
        <w:t>Sud-Sud et triangulaire pour le développement sanitaire</w:t>
      </w:r>
      <w:r w:rsidR="00AC52A7">
        <w:rPr>
          <w:b/>
          <w:i/>
          <w:lang w:val="fr-FR"/>
        </w:rPr>
        <w:t xml:space="preserve"> </w:t>
      </w:r>
    </w:p>
    <w:p w14:paraId="56166A4B" w14:textId="77777777" w:rsidR="00A6017F" w:rsidRPr="00BB4B1A" w:rsidRDefault="00A6017F" w:rsidP="00DC4C77">
      <w:pPr>
        <w:spacing w:after="0"/>
        <w:ind w:left="360"/>
        <w:rPr>
          <w:lang w:val="fr-FR"/>
        </w:rPr>
      </w:pPr>
    </w:p>
    <w:p w14:paraId="34F8A7D9" w14:textId="77777777" w:rsidR="000B0F76" w:rsidRPr="00BB4B1A" w:rsidRDefault="000B0F76" w:rsidP="00A16DC1">
      <w:pPr>
        <w:shd w:val="clear" w:color="auto" w:fill="FFFFFF" w:themeFill="background1"/>
        <w:spacing w:after="0"/>
        <w:ind w:firstLine="720"/>
        <w:rPr>
          <w:i/>
          <w:lang w:val="fr-FR"/>
        </w:rPr>
      </w:pPr>
      <w:r w:rsidRPr="00BB4B1A">
        <w:rPr>
          <w:i/>
          <w:lang w:val="fr-FR"/>
        </w:rPr>
        <w:t>Acti</w:t>
      </w:r>
      <w:r w:rsidR="00AC52A7">
        <w:rPr>
          <w:i/>
          <w:lang w:val="fr-FR"/>
        </w:rPr>
        <w:t>vités</w:t>
      </w:r>
    </w:p>
    <w:p w14:paraId="424BF930" w14:textId="77777777" w:rsidR="001C3262" w:rsidRPr="00BB4B1A" w:rsidRDefault="000E5AE3" w:rsidP="001C3262">
      <w:pPr>
        <w:pStyle w:val="ListParagraph"/>
        <w:numPr>
          <w:ilvl w:val="0"/>
          <w:numId w:val="14"/>
        </w:numPr>
        <w:spacing w:after="120"/>
        <w:rPr>
          <w:lang w:val="fr-FR"/>
        </w:rPr>
      </w:pPr>
      <w:r w:rsidRPr="00BB4B1A">
        <w:rPr>
          <w:lang w:val="fr-FR"/>
        </w:rPr>
        <w:t>Compl</w:t>
      </w:r>
      <w:r w:rsidR="00AC52A7">
        <w:rPr>
          <w:lang w:val="fr-FR"/>
        </w:rPr>
        <w:t xml:space="preserve">éter le diagnostic </w:t>
      </w:r>
      <w:r w:rsidR="00002133">
        <w:rPr>
          <w:lang w:val="fr-FR"/>
        </w:rPr>
        <w:t>d</w:t>
      </w:r>
      <w:r w:rsidR="00AC52A7">
        <w:rPr>
          <w:lang w:val="fr-FR"/>
        </w:rPr>
        <w:t xml:space="preserve">es problèmes et la pratique actuelle dans la coopération Sud-Sud et </w:t>
      </w:r>
      <w:r w:rsidR="00002133">
        <w:rPr>
          <w:lang w:val="fr-FR"/>
        </w:rPr>
        <w:t xml:space="preserve">la coopération </w:t>
      </w:r>
      <w:r w:rsidR="00AC52A7">
        <w:rPr>
          <w:lang w:val="fr-FR"/>
        </w:rPr>
        <w:t xml:space="preserve">triangulaire en matière de santé, avec une analyse documentaire des initiatives et des publications actuelles sur la coopération Sud-Sud et </w:t>
      </w:r>
      <w:r w:rsidR="00002133">
        <w:rPr>
          <w:lang w:val="fr-FR"/>
        </w:rPr>
        <w:t xml:space="preserve">la coopération </w:t>
      </w:r>
      <w:r w:rsidR="00AC52A7">
        <w:rPr>
          <w:lang w:val="fr-FR"/>
        </w:rPr>
        <w:t>triangulaire, ainsi que des entretiens avec des informateurs clés.</w:t>
      </w:r>
      <w:r w:rsidR="00A6017F" w:rsidRPr="00BB4B1A">
        <w:rPr>
          <w:lang w:val="fr-FR"/>
        </w:rPr>
        <w:t xml:space="preserve"> </w:t>
      </w:r>
    </w:p>
    <w:p w14:paraId="77A3799B" w14:textId="77777777" w:rsidR="00872562" w:rsidRPr="00BB4B1A" w:rsidRDefault="00AC52A7" w:rsidP="001C3262">
      <w:pPr>
        <w:pStyle w:val="ListParagraph"/>
        <w:numPr>
          <w:ilvl w:val="0"/>
          <w:numId w:val="14"/>
        </w:numPr>
        <w:spacing w:after="120"/>
        <w:rPr>
          <w:lang w:val="fr-FR"/>
        </w:rPr>
      </w:pPr>
      <w:r>
        <w:rPr>
          <w:lang w:val="fr-FR"/>
        </w:rPr>
        <w:t>Examen des manières dont les règles et pratiques des partenaires du développement facilitent ou entravent la coopération Sud-Sud</w:t>
      </w:r>
      <w:r w:rsidR="00002133">
        <w:rPr>
          <w:lang w:val="fr-FR"/>
        </w:rPr>
        <w:t>.</w:t>
      </w:r>
    </w:p>
    <w:p w14:paraId="557D20F9" w14:textId="77777777" w:rsidR="00D20159" w:rsidRPr="00BB4B1A" w:rsidRDefault="00AC52A7" w:rsidP="00503F53">
      <w:pPr>
        <w:pStyle w:val="ListParagraph"/>
        <w:numPr>
          <w:ilvl w:val="0"/>
          <w:numId w:val="14"/>
        </w:numPr>
        <w:spacing w:after="0"/>
        <w:ind w:left="1077" w:hanging="357"/>
        <w:rPr>
          <w:lang w:val="fr-FR"/>
        </w:rPr>
      </w:pPr>
      <w:r>
        <w:rPr>
          <w:lang w:val="fr-FR"/>
        </w:rPr>
        <w:t xml:space="preserve">Consultation d’experts aboutissant à un accord sur le rôle futur de l’IHP+ dans le soutien de la coopération Sud-Sud et </w:t>
      </w:r>
      <w:r w:rsidR="00002133">
        <w:rPr>
          <w:lang w:val="fr-FR"/>
        </w:rPr>
        <w:t xml:space="preserve">de la coopération </w:t>
      </w:r>
      <w:r>
        <w:rPr>
          <w:lang w:val="fr-FR"/>
        </w:rPr>
        <w:t>triangulaire.</w:t>
      </w:r>
    </w:p>
    <w:p w14:paraId="3C66DF6D" w14:textId="77777777" w:rsidR="00D20159" w:rsidRPr="00BB4B1A" w:rsidRDefault="00AC52A7" w:rsidP="00D20159">
      <w:pPr>
        <w:spacing w:after="0"/>
        <w:ind w:left="720"/>
        <w:rPr>
          <w:lang w:val="fr-FR"/>
        </w:rPr>
      </w:pPr>
      <w:r>
        <w:rPr>
          <w:i/>
          <w:lang w:val="fr-FR"/>
        </w:rPr>
        <w:t>Repères</w:t>
      </w:r>
    </w:p>
    <w:tbl>
      <w:tblPr>
        <w:tblStyle w:val="TableGrid"/>
        <w:tblW w:w="921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843"/>
      </w:tblGrid>
      <w:tr w:rsidR="00002133" w:rsidRPr="00002133" w14:paraId="285148CE" w14:textId="77777777" w:rsidTr="00002133">
        <w:tc>
          <w:tcPr>
            <w:tcW w:w="7371" w:type="dxa"/>
          </w:tcPr>
          <w:p w14:paraId="519632D0" w14:textId="77777777" w:rsidR="00002133" w:rsidRPr="00002133" w:rsidRDefault="00002133" w:rsidP="00054234">
            <w:pPr>
              <w:rPr>
                <w:lang w:val="fr-FR"/>
              </w:rPr>
            </w:pPr>
            <w:r w:rsidRPr="00002133">
              <w:rPr>
                <w:lang w:val="fr-FR"/>
              </w:rPr>
              <w:t xml:space="preserve">Rapports synthétiques sur les principales conclusions de l’inventaire, des entretiens avec les informateurs clés et de l’analyse des règles et pratiques des partenaires du développement achevés et diffusés largement </w:t>
            </w:r>
          </w:p>
        </w:tc>
        <w:tc>
          <w:tcPr>
            <w:tcW w:w="1843" w:type="dxa"/>
          </w:tcPr>
          <w:p w14:paraId="0A2823B7" w14:textId="77777777" w:rsidR="00002133" w:rsidRDefault="00002133" w:rsidP="00054234">
            <w:pPr>
              <w:rPr>
                <w:lang w:val="fr-FR"/>
              </w:rPr>
            </w:pPr>
          </w:p>
          <w:p w14:paraId="40EEE844" w14:textId="77777777" w:rsidR="00002133" w:rsidRPr="00002133" w:rsidRDefault="00002133" w:rsidP="00054234">
            <w:pPr>
              <w:rPr>
                <w:lang w:val="fr-FR"/>
              </w:rPr>
            </w:pPr>
            <w:r w:rsidRPr="00002133">
              <w:rPr>
                <w:lang w:val="fr-FR"/>
              </w:rPr>
              <w:t xml:space="preserve">Fin </w:t>
            </w:r>
            <w:r>
              <w:rPr>
                <w:lang w:val="fr-FR"/>
              </w:rPr>
              <w:t xml:space="preserve">du </w:t>
            </w:r>
            <w:r w:rsidRPr="00002133">
              <w:rPr>
                <w:lang w:val="fr-FR"/>
              </w:rPr>
              <w:t>1</w:t>
            </w:r>
            <w:r w:rsidRPr="00002133">
              <w:rPr>
                <w:vertAlign w:val="superscript"/>
                <w:lang w:val="fr-FR"/>
              </w:rPr>
              <w:t>er</w:t>
            </w:r>
            <w:r w:rsidRPr="00002133">
              <w:rPr>
                <w:lang w:val="fr-FR"/>
              </w:rPr>
              <w:t xml:space="preserve"> trimestre 2014</w:t>
            </w:r>
          </w:p>
        </w:tc>
      </w:tr>
      <w:tr w:rsidR="00002133" w:rsidRPr="00002133" w14:paraId="0810B5F6" w14:textId="77777777" w:rsidTr="00002133">
        <w:tc>
          <w:tcPr>
            <w:tcW w:w="7371" w:type="dxa"/>
          </w:tcPr>
          <w:p w14:paraId="5162C0FB" w14:textId="77777777" w:rsidR="00002133" w:rsidRPr="00002133" w:rsidRDefault="00002133" w:rsidP="00054234">
            <w:pPr>
              <w:rPr>
                <w:lang w:val="fr-FR"/>
              </w:rPr>
            </w:pPr>
            <w:r w:rsidRPr="00002133">
              <w:rPr>
                <w:lang w:val="fr-FR"/>
              </w:rPr>
              <w:t>Consultation d’experts</w:t>
            </w:r>
          </w:p>
        </w:tc>
        <w:tc>
          <w:tcPr>
            <w:tcW w:w="1843" w:type="dxa"/>
          </w:tcPr>
          <w:p w14:paraId="54923539" w14:textId="77777777" w:rsidR="00002133" w:rsidRPr="00002133" w:rsidRDefault="00002133" w:rsidP="00054234">
            <w:pPr>
              <w:rPr>
                <w:lang w:val="fr-FR"/>
              </w:rPr>
            </w:pPr>
            <w:r w:rsidRPr="00002133">
              <w:rPr>
                <w:lang w:val="fr-FR"/>
              </w:rPr>
              <w:t>2</w:t>
            </w:r>
            <w:r w:rsidRPr="00002133">
              <w:rPr>
                <w:vertAlign w:val="superscript"/>
                <w:lang w:val="fr-FR"/>
              </w:rPr>
              <w:t>e</w:t>
            </w:r>
            <w:r w:rsidRPr="00002133">
              <w:rPr>
                <w:lang w:val="fr-FR"/>
              </w:rPr>
              <w:t xml:space="preserve"> trimestre 2014</w:t>
            </w:r>
          </w:p>
        </w:tc>
      </w:tr>
      <w:tr w:rsidR="00002133" w:rsidRPr="00002133" w14:paraId="548273BD" w14:textId="77777777" w:rsidTr="00002133">
        <w:tc>
          <w:tcPr>
            <w:tcW w:w="7371" w:type="dxa"/>
          </w:tcPr>
          <w:p w14:paraId="04214136" w14:textId="77777777" w:rsidR="00002133" w:rsidRPr="00002133" w:rsidRDefault="00002133" w:rsidP="00054234">
            <w:pPr>
              <w:rPr>
                <w:lang w:val="fr-FR"/>
              </w:rPr>
            </w:pPr>
            <w:r w:rsidRPr="00002133">
              <w:rPr>
                <w:lang w:val="fr-FR"/>
              </w:rPr>
              <w:t xml:space="preserve">Activités de l’IHP+ en matière de coopération Sud-Sud et </w:t>
            </w:r>
            <w:r>
              <w:rPr>
                <w:lang w:val="fr-FR"/>
              </w:rPr>
              <w:t xml:space="preserve">de coopération </w:t>
            </w:r>
            <w:r w:rsidRPr="00002133">
              <w:rPr>
                <w:lang w:val="fr-FR"/>
              </w:rPr>
              <w:t xml:space="preserve">triangulaire mises en </w:t>
            </w:r>
            <w:r>
              <w:rPr>
                <w:lang w:val="fr-FR"/>
              </w:rPr>
              <w:t xml:space="preserve">œuvre </w:t>
            </w:r>
          </w:p>
        </w:tc>
        <w:tc>
          <w:tcPr>
            <w:tcW w:w="1843" w:type="dxa"/>
          </w:tcPr>
          <w:p w14:paraId="0ACF79DB" w14:textId="77777777" w:rsidR="00002133" w:rsidRPr="00002133" w:rsidRDefault="0035009B" w:rsidP="00BE00FC">
            <w:pPr>
              <w:rPr>
                <w:lang w:val="fr-FR"/>
              </w:rPr>
            </w:pPr>
            <w:r>
              <w:rPr>
                <w:lang w:val="fr-FR"/>
              </w:rPr>
              <w:t>À</w:t>
            </w:r>
            <w:r w:rsidR="00002133" w:rsidRPr="00002133">
              <w:rPr>
                <w:lang w:val="fr-FR"/>
              </w:rPr>
              <w:t xml:space="preserve"> compter du 3</w:t>
            </w:r>
            <w:r w:rsidR="00002133" w:rsidRPr="00002133">
              <w:rPr>
                <w:vertAlign w:val="superscript"/>
                <w:lang w:val="fr-FR"/>
              </w:rPr>
              <w:t>e</w:t>
            </w:r>
            <w:r w:rsidR="00002133" w:rsidRPr="00002133">
              <w:rPr>
                <w:lang w:val="fr-FR"/>
              </w:rPr>
              <w:t xml:space="preserve"> trimestre </w:t>
            </w:r>
          </w:p>
        </w:tc>
      </w:tr>
    </w:tbl>
    <w:p w14:paraId="2B9F07CE" w14:textId="77777777" w:rsidR="00987561" w:rsidRPr="00BB4B1A" w:rsidRDefault="00987561" w:rsidP="008C4EA2">
      <w:pPr>
        <w:spacing w:after="0"/>
        <w:ind w:left="360"/>
        <w:rPr>
          <w:b/>
          <w:lang w:val="fr-FR"/>
        </w:rPr>
      </w:pPr>
    </w:p>
    <w:p w14:paraId="0EFB4421" w14:textId="77777777" w:rsidR="00D4156D" w:rsidRPr="00BB4B1A" w:rsidRDefault="003905DA" w:rsidP="008C4EA2">
      <w:pPr>
        <w:spacing w:after="0"/>
        <w:ind w:left="360"/>
        <w:rPr>
          <w:i/>
          <w:lang w:val="fr-FR"/>
        </w:rPr>
      </w:pPr>
      <w:r w:rsidRPr="00BB4B1A">
        <w:rPr>
          <w:b/>
          <w:i/>
          <w:lang w:val="fr-FR"/>
        </w:rPr>
        <w:t>B.</w:t>
      </w:r>
      <w:r w:rsidR="00C553C6" w:rsidRPr="00BB4B1A">
        <w:rPr>
          <w:b/>
          <w:i/>
          <w:lang w:val="fr-FR"/>
        </w:rPr>
        <w:t>3.2</w:t>
      </w:r>
      <w:r w:rsidR="008C4EA2" w:rsidRPr="00BB4B1A">
        <w:rPr>
          <w:b/>
          <w:i/>
          <w:lang w:val="fr-FR"/>
        </w:rPr>
        <w:t xml:space="preserve"> </w:t>
      </w:r>
      <w:r w:rsidR="009C3FC8">
        <w:rPr>
          <w:b/>
          <w:i/>
          <w:lang w:val="fr-FR"/>
        </w:rPr>
        <w:t xml:space="preserve">Assistance technique </w:t>
      </w:r>
      <w:r w:rsidR="00002133">
        <w:rPr>
          <w:b/>
          <w:i/>
          <w:lang w:val="fr-FR"/>
        </w:rPr>
        <w:t xml:space="preserve">planifiée de façon </w:t>
      </w:r>
      <w:r w:rsidR="009C3FC8">
        <w:rPr>
          <w:b/>
          <w:i/>
          <w:lang w:val="fr-FR"/>
        </w:rPr>
        <w:t>stratégique et bien coordonnée</w:t>
      </w:r>
    </w:p>
    <w:p w14:paraId="587154BE" w14:textId="77777777" w:rsidR="00830CC6" w:rsidRPr="00BB4B1A" w:rsidRDefault="00830CC6" w:rsidP="00B368F8">
      <w:pPr>
        <w:spacing w:after="0"/>
        <w:ind w:left="357"/>
        <w:rPr>
          <w:i/>
          <w:lang w:val="fr-FR"/>
        </w:rPr>
      </w:pPr>
    </w:p>
    <w:p w14:paraId="0ECCE40E" w14:textId="77777777" w:rsidR="000B0F76" w:rsidRPr="00BB4B1A" w:rsidRDefault="000B0F76" w:rsidP="00AB614F">
      <w:pPr>
        <w:shd w:val="clear" w:color="auto" w:fill="FFFFFF" w:themeFill="background1"/>
        <w:spacing w:after="0"/>
        <w:ind w:left="360" w:firstLine="360"/>
        <w:rPr>
          <w:i/>
          <w:lang w:val="fr-FR"/>
        </w:rPr>
      </w:pPr>
      <w:r w:rsidRPr="00BB4B1A">
        <w:rPr>
          <w:i/>
          <w:lang w:val="fr-FR"/>
        </w:rPr>
        <w:t>Acti</w:t>
      </w:r>
      <w:r w:rsidR="009C3FC8">
        <w:rPr>
          <w:i/>
          <w:lang w:val="fr-FR"/>
        </w:rPr>
        <w:t>vités</w:t>
      </w:r>
    </w:p>
    <w:p w14:paraId="65559732" w14:textId="77777777" w:rsidR="00511430" w:rsidRPr="00BB4B1A" w:rsidRDefault="009C3FC8" w:rsidP="00AB614F">
      <w:pPr>
        <w:pStyle w:val="ListParagraph"/>
        <w:numPr>
          <w:ilvl w:val="0"/>
          <w:numId w:val="6"/>
        </w:numPr>
        <w:spacing w:after="120"/>
        <w:rPr>
          <w:b/>
          <w:lang w:val="fr-FR"/>
        </w:rPr>
      </w:pPr>
      <w:r>
        <w:rPr>
          <w:lang w:val="fr-FR"/>
        </w:rPr>
        <w:lastRenderedPageBreak/>
        <w:t xml:space="preserve">Réunion préliminaire d’experts internationaux d’une journée, aboutissant à un document de discussion pour une consultation </w:t>
      </w:r>
      <w:r w:rsidR="002C449E">
        <w:rPr>
          <w:lang w:val="fr-FR"/>
        </w:rPr>
        <w:t>élargie</w:t>
      </w:r>
      <w:r>
        <w:rPr>
          <w:lang w:val="fr-FR"/>
        </w:rPr>
        <w:t>, y compris des indicateurs possibles pour contrôler les progrès</w:t>
      </w:r>
      <w:r w:rsidR="00002133">
        <w:rPr>
          <w:lang w:val="fr-FR"/>
        </w:rPr>
        <w:t>.</w:t>
      </w:r>
    </w:p>
    <w:p w14:paraId="1F963627" w14:textId="77777777" w:rsidR="0090328A" w:rsidRPr="00BB4B1A" w:rsidRDefault="006E4EAC" w:rsidP="00AB614F">
      <w:pPr>
        <w:pStyle w:val="ListParagraph"/>
        <w:numPr>
          <w:ilvl w:val="0"/>
          <w:numId w:val="6"/>
        </w:numPr>
        <w:spacing w:after="120"/>
        <w:rPr>
          <w:b/>
          <w:lang w:val="fr-FR"/>
        </w:rPr>
      </w:pPr>
      <w:r w:rsidRPr="00BB4B1A">
        <w:rPr>
          <w:lang w:val="fr-FR"/>
        </w:rPr>
        <w:t>C</w:t>
      </w:r>
      <w:r w:rsidR="009B4E8E" w:rsidRPr="00BB4B1A">
        <w:rPr>
          <w:lang w:val="fr-FR"/>
        </w:rPr>
        <w:t xml:space="preserve">onsultation </w:t>
      </w:r>
      <w:r w:rsidR="009C3FC8">
        <w:rPr>
          <w:lang w:val="fr-FR"/>
        </w:rPr>
        <w:t>avec les pays et les institutions du développement</w:t>
      </w:r>
      <w:r w:rsidR="00002133">
        <w:rPr>
          <w:lang w:val="fr-FR"/>
        </w:rPr>
        <w:t>.</w:t>
      </w:r>
      <w:r w:rsidR="009B4E8E" w:rsidRPr="00BB4B1A">
        <w:rPr>
          <w:lang w:val="fr-FR"/>
        </w:rPr>
        <w:t xml:space="preserve">  </w:t>
      </w:r>
    </w:p>
    <w:p w14:paraId="60A8399A" w14:textId="77777777" w:rsidR="00D20159" w:rsidRPr="00BB4B1A" w:rsidRDefault="009C3FC8" w:rsidP="00503F53">
      <w:pPr>
        <w:pStyle w:val="ListParagraph"/>
        <w:numPr>
          <w:ilvl w:val="0"/>
          <w:numId w:val="6"/>
        </w:numPr>
        <w:spacing w:after="0"/>
        <w:ind w:left="1077" w:hanging="357"/>
        <w:rPr>
          <w:b/>
          <w:lang w:val="fr-FR"/>
        </w:rPr>
      </w:pPr>
      <w:r>
        <w:rPr>
          <w:lang w:val="fr-FR"/>
        </w:rPr>
        <w:t xml:space="preserve">Document thématique commandité sur la prestation d’une assistance technique efficace et mieux alignée dans l’environnement actuel de l’aide au développement en mutation, afin d’informer les hauts </w:t>
      </w:r>
      <w:r w:rsidR="00002133">
        <w:rPr>
          <w:lang w:val="fr-FR"/>
        </w:rPr>
        <w:t xml:space="preserve">responsables au sein des </w:t>
      </w:r>
      <w:r>
        <w:rPr>
          <w:lang w:val="fr-FR"/>
        </w:rPr>
        <w:t xml:space="preserve">gouvernements, </w:t>
      </w:r>
      <w:r w:rsidR="00002133">
        <w:rPr>
          <w:lang w:val="fr-FR"/>
        </w:rPr>
        <w:t>d</w:t>
      </w:r>
      <w:r>
        <w:rPr>
          <w:lang w:val="fr-FR"/>
        </w:rPr>
        <w:t xml:space="preserve">es institutions du développement et </w:t>
      </w:r>
      <w:r w:rsidR="00002133">
        <w:rPr>
          <w:lang w:val="fr-FR"/>
        </w:rPr>
        <w:t>d</w:t>
      </w:r>
      <w:r>
        <w:rPr>
          <w:lang w:val="fr-FR"/>
        </w:rPr>
        <w:t>es ONG</w:t>
      </w:r>
      <w:r w:rsidR="00961413" w:rsidRPr="00BB4B1A">
        <w:rPr>
          <w:lang w:val="fr-FR"/>
        </w:rPr>
        <w:t>.</w:t>
      </w:r>
      <w:r w:rsidR="00CF5C64" w:rsidRPr="00BB4B1A">
        <w:rPr>
          <w:b/>
          <w:lang w:val="fr-FR"/>
        </w:rPr>
        <w:t xml:space="preserve"> </w:t>
      </w:r>
    </w:p>
    <w:p w14:paraId="30B6B511" w14:textId="77777777" w:rsidR="00D20159" w:rsidRPr="00BB4B1A" w:rsidRDefault="009C3FC8" w:rsidP="001F30B2">
      <w:pPr>
        <w:spacing w:after="0"/>
        <w:ind w:left="720"/>
        <w:rPr>
          <w:b/>
          <w:lang w:val="fr-FR"/>
        </w:rPr>
      </w:pPr>
      <w:r>
        <w:rPr>
          <w:i/>
          <w:lang w:val="fr-FR"/>
        </w:rPr>
        <w:t>Repères</w:t>
      </w:r>
    </w:p>
    <w:tbl>
      <w:tblPr>
        <w:tblStyle w:val="TableGrid"/>
        <w:tblW w:w="90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843"/>
      </w:tblGrid>
      <w:tr w:rsidR="00002133" w:rsidRPr="00002133" w14:paraId="3552E314" w14:textId="77777777" w:rsidTr="00002133">
        <w:tc>
          <w:tcPr>
            <w:tcW w:w="7229" w:type="dxa"/>
          </w:tcPr>
          <w:p w14:paraId="6C4D2B22" w14:textId="77777777" w:rsidR="00002133" w:rsidRPr="00002133" w:rsidRDefault="00002133" w:rsidP="00EB3D79">
            <w:pPr>
              <w:rPr>
                <w:lang w:val="fr-FR"/>
              </w:rPr>
            </w:pPr>
            <w:r w:rsidRPr="00002133">
              <w:rPr>
                <w:lang w:val="fr-FR"/>
              </w:rPr>
              <w:t>Document de travail, basé sur la réunion préliminaire</w:t>
            </w:r>
          </w:p>
        </w:tc>
        <w:tc>
          <w:tcPr>
            <w:tcW w:w="1843" w:type="dxa"/>
          </w:tcPr>
          <w:p w14:paraId="677CAF03" w14:textId="77777777" w:rsidR="00002133" w:rsidRPr="00002133" w:rsidRDefault="00002133" w:rsidP="00536C18">
            <w:pPr>
              <w:rPr>
                <w:b/>
                <w:lang w:val="fr-FR"/>
              </w:rPr>
            </w:pPr>
            <w:r w:rsidRPr="00002133">
              <w:rPr>
                <w:lang w:val="fr-FR"/>
              </w:rPr>
              <w:t>1</w:t>
            </w:r>
            <w:r w:rsidRPr="00002133">
              <w:rPr>
                <w:vertAlign w:val="superscript"/>
                <w:lang w:val="fr-FR"/>
              </w:rPr>
              <w:t>er</w:t>
            </w:r>
            <w:r w:rsidRPr="00002133">
              <w:rPr>
                <w:lang w:val="fr-FR"/>
              </w:rPr>
              <w:t xml:space="preserve"> trimestre 2014</w:t>
            </w:r>
          </w:p>
        </w:tc>
      </w:tr>
      <w:tr w:rsidR="00002133" w:rsidRPr="00002133" w14:paraId="636CB3C3" w14:textId="77777777" w:rsidTr="00002133">
        <w:tc>
          <w:tcPr>
            <w:tcW w:w="7229" w:type="dxa"/>
          </w:tcPr>
          <w:p w14:paraId="47DE39B3" w14:textId="77777777" w:rsidR="00002133" w:rsidRPr="00002133" w:rsidRDefault="00002133" w:rsidP="00EB3D79">
            <w:pPr>
              <w:rPr>
                <w:lang w:val="fr-FR"/>
              </w:rPr>
            </w:pPr>
            <w:r w:rsidRPr="00002133">
              <w:rPr>
                <w:lang w:val="fr-FR"/>
              </w:rPr>
              <w:t>Consultation avec les pays et les institutions de développement</w:t>
            </w:r>
          </w:p>
        </w:tc>
        <w:tc>
          <w:tcPr>
            <w:tcW w:w="1843" w:type="dxa"/>
          </w:tcPr>
          <w:p w14:paraId="33587426" w14:textId="77777777" w:rsidR="00002133" w:rsidRPr="00002133" w:rsidRDefault="00002133" w:rsidP="00EB3D79">
            <w:pPr>
              <w:rPr>
                <w:b/>
                <w:lang w:val="fr-FR"/>
              </w:rPr>
            </w:pPr>
            <w:r w:rsidRPr="00002133">
              <w:rPr>
                <w:lang w:val="fr-FR"/>
              </w:rPr>
              <w:t>2</w:t>
            </w:r>
            <w:r w:rsidRPr="00002133">
              <w:rPr>
                <w:vertAlign w:val="superscript"/>
                <w:lang w:val="fr-FR"/>
              </w:rPr>
              <w:t>e</w:t>
            </w:r>
            <w:r w:rsidRPr="00002133">
              <w:rPr>
                <w:lang w:val="fr-FR"/>
              </w:rPr>
              <w:t xml:space="preserve"> trimestre 2014</w:t>
            </w:r>
          </w:p>
        </w:tc>
      </w:tr>
      <w:tr w:rsidR="00002133" w:rsidRPr="00002133" w14:paraId="66E9CCF9" w14:textId="77777777" w:rsidTr="00002133">
        <w:tc>
          <w:tcPr>
            <w:tcW w:w="7229" w:type="dxa"/>
          </w:tcPr>
          <w:p w14:paraId="5C393780" w14:textId="77777777" w:rsidR="00002133" w:rsidRPr="00002133" w:rsidRDefault="00002133" w:rsidP="00EB3D79">
            <w:pPr>
              <w:rPr>
                <w:lang w:val="fr-FR"/>
              </w:rPr>
            </w:pPr>
            <w:r w:rsidRPr="00002133">
              <w:rPr>
                <w:lang w:val="fr-FR"/>
              </w:rPr>
              <w:t>Document thématique sur une assistance technique efficace et alignée</w:t>
            </w:r>
          </w:p>
        </w:tc>
        <w:tc>
          <w:tcPr>
            <w:tcW w:w="1843" w:type="dxa"/>
          </w:tcPr>
          <w:p w14:paraId="1A13066A" w14:textId="77777777" w:rsidR="00002133" w:rsidRPr="00002133" w:rsidRDefault="00002133" w:rsidP="00EB3D79">
            <w:pPr>
              <w:rPr>
                <w:b/>
                <w:lang w:val="fr-FR"/>
              </w:rPr>
            </w:pPr>
            <w:r w:rsidRPr="00002133">
              <w:rPr>
                <w:lang w:val="fr-FR"/>
              </w:rPr>
              <w:t>3</w:t>
            </w:r>
            <w:r w:rsidRPr="00002133">
              <w:rPr>
                <w:vertAlign w:val="superscript"/>
                <w:lang w:val="fr-FR"/>
              </w:rPr>
              <w:t>e</w:t>
            </w:r>
            <w:r w:rsidRPr="00002133">
              <w:rPr>
                <w:lang w:val="fr-FR"/>
              </w:rPr>
              <w:t xml:space="preserve"> trimestre 2014</w:t>
            </w:r>
          </w:p>
        </w:tc>
      </w:tr>
      <w:tr w:rsidR="00002133" w:rsidRPr="00002133" w14:paraId="5E5487DA" w14:textId="77777777" w:rsidTr="00002133">
        <w:tc>
          <w:tcPr>
            <w:tcW w:w="7229" w:type="dxa"/>
          </w:tcPr>
          <w:p w14:paraId="32695CB3" w14:textId="77777777" w:rsidR="00002133" w:rsidRPr="00002133" w:rsidRDefault="00002133" w:rsidP="00EB3D79">
            <w:pPr>
              <w:rPr>
                <w:lang w:val="fr-FR"/>
              </w:rPr>
            </w:pPr>
            <w:r w:rsidRPr="00002133">
              <w:rPr>
                <w:lang w:val="fr-FR"/>
              </w:rPr>
              <w:t xml:space="preserve">Discussion </w:t>
            </w:r>
            <w:r>
              <w:rPr>
                <w:lang w:val="fr-FR"/>
              </w:rPr>
              <w:t>pendant la r</w:t>
            </w:r>
            <w:r w:rsidRPr="00002133">
              <w:rPr>
                <w:lang w:val="fr-FR"/>
              </w:rPr>
              <w:t>éunion des équipes nationales de santé</w:t>
            </w:r>
          </w:p>
        </w:tc>
        <w:tc>
          <w:tcPr>
            <w:tcW w:w="1843" w:type="dxa"/>
          </w:tcPr>
          <w:p w14:paraId="0F161C9E" w14:textId="77777777" w:rsidR="00002133" w:rsidRPr="00002133" w:rsidRDefault="00002133" w:rsidP="00EB3D79">
            <w:pPr>
              <w:rPr>
                <w:lang w:val="fr-FR"/>
              </w:rPr>
            </w:pPr>
            <w:r w:rsidRPr="00002133">
              <w:rPr>
                <w:lang w:val="fr-FR"/>
              </w:rPr>
              <w:t>4</w:t>
            </w:r>
            <w:r w:rsidRPr="00002133">
              <w:rPr>
                <w:vertAlign w:val="superscript"/>
                <w:lang w:val="fr-FR"/>
              </w:rPr>
              <w:t>e</w:t>
            </w:r>
            <w:r w:rsidRPr="00002133">
              <w:rPr>
                <w:lang w:val="fr-FR"/>
              </w:rPr>
              <w:t xml:space="preserve"> trimestre 2014</w:t>
            </w:r>
          </w:p>
        </w:tc>
      </w:tr>
    </w:tbl>
    <w:p w14:paraId="6BECA7B6" w14:textId="77777777" w:rsidR="004D4D96" w:rsidRPr="00BB4B1A" w:rsidRDefault="004D4D96" w:rsidP="004D4D96">
      <w:pPr>
        <w:spacing w:after="0"/>
        <w:rPr>
          <w:b/>
          <w:lang w:val="fr-FR"/>
        </w:rPr>
      </w:pPr>
      <w:r w:rsidRPr="00BB4B1A">
        <w:rPr>
          <w:b/>
          <w:i/>
          <w:lang w:val="fr-FR"/>
        </w:rPr>
        <w:tab/>
      </w:r>
    </w:p>
    <w:p w14:paraId="70EAD212" w14:textId="77777777" w:rsidR="006E4EAC" w:rsidRPr="00BB4B1A" w:rsidRDefault="003905DA" w:rsidP="00F83FC1">
      <w:pPr>
        <w:spacing w:after="0"/>
        <w:ind w:left="360"/>
        <w:rPr>
          <w:b/>
          <w:sz w:val="24"/>
          <w:szCs w:val="24"/>
          <w:lang w:val="fr-FR"/>
        </w:rPr>
      </w:pPr>
      <w:r w:rsidRPr="00BB4B1A">
        <w:rPr>
          <w:b/>
          <w:sz w:val="24"/>
          <w:szCs w:val="24"/>
          <w:lang w:val="fr-FR"/>
        </w:rPr>
        <w:t xml:space="preserve">B.4 </w:t>
      </w:r>
      <w:r w:rsidR="009C3FC8">
        <w:rPr>
          <w:b/>
          <w:sz w:val="24"/>
          <w:szCs w:val="24"/>
          <w:lang w:val="fr-FR"/>
        </w:rPr>
        <w:t>Allocations aux pays</w:t>
      </w:r>
    </w:p>
    <w:p w14:paraId="7B89FE89" w14:textId="77777777" w:rsidR="00907652" w:rsidRPr="00BB4B1A" w:rsidRDefault="00907652" w:rsidP="00241E59">
      <w:pPr>
        <w:spacing w:after="0"/>
        <w:rPr>
          <w:lang w:val="fr-FR"/>
        </w:rPr>
      </w:pPr>
    </w:p>
    <w:p w14:paraId="77F6D3AA" w14:textId="77777777" w:rsidR="00907652" w:rsidRPr="00BB4B1A" w:rsidRDefault="00907652" w:rsidP="00355179">
      <w:pPr>
        <w:spacing w:after="0"/>
        <w:ind w:left="360" w:firstLine="360"/>
        <w:rPr>
          <w:i/>
          <w:lang w:val="fr-FR"/>
        </w:rPr>
      </w:pPr>
      <w:r w:rsidRPr="00BB4B1A">
        <w:rPr>
          <w:i/>
          <w:lang w:val="fr-FR"/>
        </w:rPr>
        <w:t>Acti</w:t>
      </w:r>
      <w:r w:rsidR="009C3FC8">
        <w:rPr>
          <w:i/>
          <w:lang w:val="fr-FR"/>
        </w:rPr>
        <w:t>vités</w:t>
      </w:r>
    </w:p>
    <w:p w14:paraId="53231160" w14:textId="77777777" w:rsidR="00B368F8" w:rsidRPr="00BB4B1A" w:rsidRDefault="009C3FC8" w:rsidP="00AB614F">
      <w:pPr>
        <w:pStyle w:val="ListParagraph"/>
        <w:numPr>
          <w:ilvl w:val="0"/>
          <w:numId w:val="19"/>
        </w:numPr>
        <w:spacing w:after="0"/>
        <w:ind w:left="1080"/>
        <w:rPr>
          <w:lang w:val="fr-FR"/>
        </w:rPr>
      </w:pPr>
      <w:r>
        <w:rPr>
          <w:lang w:val="fr-FR"/>
        </w:rPr>
        <w:t xml:space="preserve">Analyse des allocations de l’IHP+ </w:t>
      </w:r>
      <w:r w:rsidR="00727037">
        <w:rPr>
          <w:lang w:val="fr-FR"/>
        </w:rPr>
        <w:t>aux pays command</w:t>
      </w:r>
      <w:r w:rsidR="002C449E">
        <w:rPr>
          <w:lang w:val="fr-FR"/>
        </w:rPr>
        <w:t>é</w:t>
      </w:r>
      <w:r w:rsidR="00727037">
        <w:rPr>
          <w:lang w:val="fr-FR"/>
        </w:rPr>
        <w:t xml:space="preserve">e par l’Équipe de base, </w:t>
      </w:r>
      <w:r w:rsidR="002C449E">
        <w:rPr>
          <w:lang w:val="fr-FR"/>
        </w:rPr>
        <w:t xml:space="preserve">afin de déterminer </w:t>
      </w:r>
      <w:r w:rsidR="00727037">
        <w:rPr>
          <w:lang w:val="fr-FR"/>
        </w:rPr>
        <w:t>si elles demeurent utile</w:t>
      </w:r>
      <w:r w:rsidR="00002133">
        <w:rPr>
          <w:lang w:val="fr-FR"/>
        </w:rPr>
        <w:t>s</w:t>
      </w:r>
      <w:r w:rsidR="00727037">
        <w:rPr>
          <w:lang w:val="fr-FR"/>
        </w:rPr>
        <w:t xml:space="preserve"> et efficace</w:t>
      </w:r>
      <w:r w:rsidR="00002133">
        <w:rPr>
          <w:lang w:val="fr-FR"/>
        </w:rPr>
        <w:t>s</w:t>
      </w:r>
      <w:r w:rsidR="00727037">
        <w:rPr>
          <w:lang w:val="fr-FR"/>
        </w:rPr>
        <w:t xml:space="preserve"> pour accélérer les progrès </w:t>
      </w:r>
      <w:r w:rsidR="00002133">
        <w:rPr>
          <w:lang w:val="fr-FR"/>
        </w:rPr>
        <w:t>de l</w:t>
      </w:r>
      <w:r w:rsidR="00727037">
        <w:rPr>
          <w:lang w:val="fr-FR"/>
        </w:rPr>
        <w:t>a coopération au développement en matière de santé et</w:t>
      </w:r>
      <w:r w:rsidR="00002133">
        <w:rPr>
          <w:lang w:val="fr-FR"/>
        </w:rPr>
        <w:t>,</w:t>
      </w:r>
      <w:r w:rsidR="00727037">
        <w:rPr>
          <w:lang w:val="fr-FR"/>
        </w:rPr>
        <w:t xml:space="preserve"> si c’est le cas</w:t>
      </w:r>
      <w:r w:rsidR="00002133">
        <w:rPr>
          <w:lang w:val="fr-FR"/>
        </w:rPr>
        <w:t>,</w:t>
      </w:r>
      <w:r w:rsidR="00727037">
        <w:rPr>
          <w:lang w:val="fr-FR"/>
        </w:rPr>
        <w:t xml:space="preserve"> comment elles peuvent soutenir le plus efficacement les priorités actuelles de l’IHP+, notamment l’action sur les sept comportements. Les conclusions seront </w:t>
      </w:r>
      <w:r w:rsidR="00002133">
        <w:rPr>
          <w:lang w:val="fr-FR"/>
        </w:rPr>
        <w:t xml:space="preserve">partagées </w:t>
      </w:r>
      <w:r w:rsidR="00727037">
        <w:rPr>
          <w:lang w:val="fr-FR"/>
        </w:rPr>
        <w:t>avec le Comité directeur.</w:t>
      </w:r>
    </w:p>
    <w:p w14:paraId="035E6A05" w14:textId="77777777" w:rsidR="00AD4EB0" w:rsidRPr="00BB4B1A" w:rsidRDefault="00D20159" w:rsidP="00D20159">
      <w:pPr>
        <w:spacing w:after="0"/>
        <w:ind w:firstLine="360"/>
        <w:rPr>
          <w:i/>
          <w:lang w:val="fr-FR"/>
        </w:rPr>
      </w:pPr>
      <w:r w:rsidRPr="00BB4B1A">
        <w:rPr>
          <w:i/>
          <w:lang w:val="fr-FR"/>
        </w:rPr>
        <w:tab/>
      </w:r>
      <w:r w:rsidR="00727037">
        <w:rPr>
          <w:i/>
          <w:lang w:val="fr-FR"/>
        </w:rPr>
        <w:t>Repères</w:t>
      </w:r>
      <w:r w:rsidR="00503F53" w:rsidRPr="00BB4B1A">
        <w:rPr>
          <w:i/>
          <w:lang w:val="fr-FR"/>
        </w:rP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170"/>
      </w:tblGrid>
      <w:tr w:rsidR="00002133" w:rsidRPr="00002133" w14:paraId="6CA284FC" w14:textId="77777777" w:rsidTr="00002133">
        <w:tc>
          <w:tcPr>
            <w:tcW w:w="7513" w:type="dxa"/>
          </w:tcPr>
          <w:p w14:paraId="5815E2A2" w14:textId="77777777" w:rsidR="00002133" w:rsidRPr="00002133" w:rsidRDefault="00002133" w:rsidP="002D1393">
            <w:pPr>
              <w:rPr>
                <w:lang w:val="fr-FR"/>
              </w:rPr>
            </w:pPr>
            <w:r w:rsidRPr="00002133">
              <w:rPr>
                <w:lang w:val="fr-FR"/>
              </w:rPr>
              <w:t>Analyse achevée</w:t>
            </w:r>
          </w:p>
        </w:tc>
        <w:tc>
          <w:tcPr>
            <w:tcW w:w="1170" w:type="dxa"/>
          </w:tcPr>
          <w:p w14:paraId="5AA4501E" w14:textId="77777777" w:rsidR="00002133" w:rsidRPr="00002133" w:rsidRDefault="0035009B" w:rsidP="002D1393">
            <w:pPr>
              <w:rPr>
                <w:lang w:val="fr-FR"/>
              </w:rPr>
            </w:pPr>
            <w:r>
              <w:rPr>
                <w:lang w:val="fr-FR"/>
              </w:rPr>
              <w:t>M</w:t>
            </w:r>
            <w:r w:rsidR="00002133" w:rsidRPr="00002133">
              <w:rPr>
                <w:lang w:val="fr-FR"/>
              </w:rPr>
              <w:t>i-2014</w:t>
            </w:r>
          </w:p>
        </w:tc>
      </w:tr>
    </w:tbl>
    <w:p w14:paraId="31D49B94" w14:textId="77777777" w:rsidR="00355179" w:rsidRPr="00BB4B1A" w:rsidRDefault="00355179" w:rsidP="00241E59">
      <w:pPr>
        <w:spacing w:after="0"/>
        <w:rPr>
          <w:b/>
          <w:lang w:val="fr-FR"/>
        </w:rPr>
      </w:pPr>
    </w:p>
    <w:p w14:paraId="44614320" w14:textId="77777777" w:rsidR="009B4E8E" w:rsidRPr="00BB4B1A" w:rsidRDefault="00D90B1F" w:rsidP="00AB614F">
      <w:pPr>
        <w:pStyle w:val="ListParagraph"/>
        <w:ind w:left="0"/>
        <w:rPr>
          <w:b/>
          <w:smallCaps/>
          <w:sz w:val="28"/>
          <w:szCs w:val="28"/>
          <w:lang w:val="fr-FR"/>
        </w:rPr>
      </w:pPr>
      <w:r>
        <w:rPr>
          <w:b/>
          <w:smallCaps/>
          <w:sz w:val="28"/>
          <w:szCs w:val="28"/>
          <w:lang w:val="fr-FR"/>
        </w:rPr>
        <w:t>C. Redevabilité en matière de progrès et de résultats</w:t>
      </w:r>
    </w:p>
    <w:p w14:paraId="6258EB9A" w14:textId="77777777" w:rsidR="000D6B08" w:rsidRPr="00BB4B1A" w:rsidRDefault="00D90B1F" w:rsidP="00DC4C77">
      <w:pPr>
        <w:shd w:val="clear" w:color="auto" w:fill="FFFFFF" w:themeFill="background1"/>
        <w:spacing w:after="0"/>
        <w:rPr>
          <w:lang w:val="fr-FR"/>
        </w:rPr>
      </w:pPr>
      <w:r>
        <w:rPr>
          <w:lang w:val="fr-FR"/>
        </w:rPr>
        <w:t>Les priorités définies dans le présent document reflètent les principaux messages issus de la réunion de 2012 à Nairobi et les évolutions ultérieures en 2013. Ces deux prochaines années</w:t>
      </w:r>
      <w:r w:rsidR="00593438">
        <w:rPr>
          <w:lang w:val="fr-FR"/>
        </w:rPr>
        <w:t xml:space="preserve">, tous les partenaires de l’IHP+ – gouvernements, </w:t>
      </w:r>
      <w:r>
        <w:rPr>
          <w:lang w:val="fr-FR"/>
        </w:rPr>
        <w:t>institutions internationales de développement, OSC et autres organismes</w:t>
      </w:r>
      <w:r w:rsidR="00593438">
        <w:rPr>
          <w:lang w:val="fr-FR"/>
        </w:rPr>
        <w:t xml:space="preserve"> – ont </w:t>
      </w:r>
      <w:r>
        <w:rPr>
          <w:lang w:val="fr-FR"/>
        </w:rPr>
        <w:t xml:space="preserve">des rôles majeurs à jouer </w:t>
      </w:r>
      <w:r w:rsidR="00593438">
        <w:rPr>
          <w:lang w:val="fr-FR"/>
        </w:rPr>
        <w:t>en vue d’</w:t>
      </w:r>
      <w:r>
        <w:rPr>
          <w:lang w:val="fr-FR"/>
        </w:rPr>
        <w:t xml:space="preserve">accélérer l’alignement pour de meilleurs résultats, grâce au programme </w:t>
      </w:r>
      <w:r w:rsidR="00593438">
        <w:rPr>
          <w:lang w:val="fr-FR"/>
        </w:rPr>
        <w:t xml:space="preserve">décrit </w:t>
      </w:r>
      <w:r>
        <w:rPr>
          <w:lang w:val="fr-FR"/>
        </w:rPr>
        <w:t>ici. Les activités et contributions sont destinées à améliorer p</w:t>
      </w:r>
      <w:r w:rsidR="00593438">
        <w:rPr>
          <w:lang w:val="fr-FR"/>
        </w:rPr>
        <w:t xml:space="preserve">lusieurs domaines essentiels d’une </w:t>
      </w:r>
      <w:r>
        <w:rPr>
          <w:lang w:val="fr-FR"/>
        </w:rPr>
        <w:t>coopération au développement efficace au niveau national. La redevabilité en matière de progrès et de résultats au titre de ce programme de travail sera mise en œuvre comme suit :</w:t>
      </w:r>
    </w:p>
    <w:p w14:paraId="08537001" w14:textId="77777777" w:rsidR="00AB614F" w:rsidRPr="00BB4B1A" w:rsidRDefault="00AB614F" w:rsidP="00BA67CE">
      <w:pPr>
        <w:pStyle w:val="ListParagraph"/>
        <w:spacing w:after="0"/>
        <w:rPr>
          <w:lang w:val="fr-FR"/>
        </w:rPr>
      </w:pPr>
    </w:p>
    <w:p w14:paraId="03FC8FEA" w14:textId="77777777" w:rsidR="00AE3809" w:rsidRPr="00BB4B1A" w:rsidRDefault="00430E96" w:rsidP="00F83FC1">
      <w:pPr>
        <w:spacing w:after="0"/>
        <w:ind w:left="357"/>
        <w:rPr>
          <w:b/>
          <w:sz w:val="24"/>
          <w:szCs w:val="24"/>
          <w:lang w:val="fr-FR"/>
        </w:rPr>
      </w:pPr>
      <w:r w:rsidRPr="00BB4B1A">
        <w:rPr>
          <w:b/>
          <w:sz w:val="24"/>
          <w:szCs w:val="24"/>
          <w:lang w:val="fr-FR"/>
        </w:rPr>
        <w:t xml:space="preserve">C.1 </w:t>
      </w:r>
      <w:r w:rsidR="00922912">
        <w:rPr>
          <w:b/>
          <w:sz w:val="24"/>
          <w:szCs w:val="24"/>
          <w:lang w:val="fr-FR"/>
        </w:rPr>
        <w:t>Les progrès des partenaires de l’</w:t>
      </w:r>
      <w:r w:rsidR="009312C9" w:rsidRPr="00BB4B1A">
        <w:rPr>
          <w:b/>
          <w:sz w:val="24"/>
          <w:szCs w:val="24"/>
          <w:lang w:val="fr-FR"/>
        </w:rPr>
        <w:t xml:space="preserve">IHP+ </w:t>
      </w:r>
      <w:r w:rsidR="00922912">
        <w:rPr>
          <w:b/>
          <w:sz w:val="24"/>
          <w:szCs w:val="24"/>
          <w:lang w:val="fr-FR"/>
        </w:rPr>
        <w:t>sur leurs engagements à une coopération au développement efficace en matière de santé s</w:t>
      </w:r>
      <w:r w:rsidR="00593438">
        <w:rPr>
          <w:b/>
          <w:sz w:val="24"/>
          <w:szCs w:val="24"/>
          <w:lang w:val="fr-FR"/>
        </w:rPr>
        <w:t>er</w:t>
      </w:r>
      <w:r w:rsidR="00922912">
        <w:rPr>
          <w:b/>
          <w:sz w:val="24"/>
          <w:szCs w:val="24"/>
          <w:lang w:val="fr-FR"/>
        </w:rPr>
        <w:t>ont périodiquement surveillés</w:t>
      </w:r>
    </w:p>
    <w:p w14:paraId="0B29A44E" w14:textId="77777777" w:rsidR="00BA67CE" w:rsidRPr="00BB4B1A" w:rsidRDefault="00922912" w:rsidP="00642109">
      <w:pPr>
        <w:spacing w:before="120" w:after="0"/>
        <w:ind w:left="360"/>
        <w:rPr>
          <w:lang w:val="fr-FR"/>
        </w:rPr>
      </w:pPr>
      <w:r>
        <w:rPr>
          <w:lang w:val="fr-FR"/>
        </w:rPr>
        <w:t xml:space="preserve">Tous les signataires seront invités à participer au prochain cycle de suivi des progrès </w:t>
      </w:r>
      <w:r w:rsidR="0035009B">
        <w:rPr>
          <w:lang w:val="fr-FR"/>
        </w:rPr>
        <w:t xml:space="preserve">des </w:t>
      </w:r>
      <w:r>
        <w:rPr>
          <w:lang w:val="fr-FR"/>
        </w:rPr>
        <w:t xml:space="preserve">engagements </w:t>
      </w:r>
      <w:r w:rsidR="0035009B">
        <w:rPr>
          <w:lang w:val="fr-FR"/>
        </w:rPr>
        <w:t>en faveur d’</w:t>
      </w:r>
      <w:r>
        <w:rPr>
          <w:lang w:val="fr-FR"/>
        </w:rPr>
        <w:t>une coopération au développement efficace en matière de santé. Ainsi que convenu lors de la réunion de 2012 de l’IHP+ à Nairobi, ce</w:t>
      </w:r>
      <w:r w:rsidR="0035009B">
        <w:rPr>
          <w:lang w:val="fr-FR"/>
        </w:rPr>
        <w:t xml:space="preserve">tte activité </w:t>
      </w:r>
      <w:r>
        <w:rPr>
          <w:lang w:val="fr-FR"/>
        </w:rPr>
        <w:t xml:space="preserve">fournira des données </w:t>
      </w:r>
      <w:r w:rsidR="0035009B">
        <w:rPr>
          <w:lang w:val="fr-FR"/>
        </w:rPr>
        <w:t xml:space="preserve">propres </w:t>
      </w:r>
      <w:r>
        <w:rPr>
          <w:lang w:val="fr-FR"/>
        </w:rPr>
        <w:t xml:space="preserve">au secteur </w:t>
      </w:r>
      <w:r w:rsidR="0035009B">
        <w:rPr>
          <w:lang w:val="fr-FR"/>
        </w:rPr>
        <w:t xml:space="preserve">sur </w:t>
      </w:r>
      <w:r>
        <w:rPr>
          <w:lang w:val="fr-FR"/>
        </w:rPr>
        <w:t xml:space="preserve">un petit ensemble d’indicateurs </w:t>
      </w:r>
      <w:r w:rsidR="0035009B">
        <w:rPr>
          <w:lang w:val="fr-FR"/>
        </w:rPr>
        <w:t xml:space="preserve">s’inspirant </w:t>
      </w:r>
      <w:r>
        <w:rPr>
          <w:lang w:val="fr-FR"/>
        </w:rPr>
        <w:t xml:space="preserve">du </w:t>
      </w:r>
      <w:r w:rsidRPr="00922912">
        <w:rPr>
          <w:lang w:val="fr-FR"/>
        </w:rPr>
        <w:t>Partenariat mondial pour une coopération efficace au service du développement</w:t>
      </w:r>
      <w:r>
        <w:rPr>
          <w:lang w:val="fr-FR"/>
        </w:rPr>
        <w:t xml:space="preserve">. Les cycles précédents de suivi ont été réalisés </w:t>
      </w:r>
      <w:r>
        <w:rPr>
          <w:lang w:val="fr-FR"/>
        </w:rPr>
        <w:lastRenderedPageBreak/>
        <w:t>par un consortium indépendant. Une approche modifiée, plus centrée sur les pays, a été mise au point et elle fait maintenant l’objet d’un appel d’offres.</w:t>
      </w:r>
      <w:r w:rsidR="0087595F" w:rsidRPr="00BB4B1A">
        <w:rPr>
          <w:lang w:val="fr-FR"/>
        </w:rPr>
        <w:t xml:space="preserve"> </w:t>
      </w:r>
    </w:p>
    <w:p w14:paraId="579102D3" w14:textId="77777777" w:rsidR="0087595F" w:rsidRPr="00BB4B1A" w:rsidRDefault="00922912" w:rsidP="00BA67CE">
      <w:pPr>
        <w:pBdr>
          <w:top w:val="single" w:sz="4" w:space="1" w:color="auto"/>
          <w:bottom w:val="single" w:sz="4" w:space="1" w:color="auto"/>
        </w:pBdr>
        <w:spacing w:before="120" w:after="0"/>
        <w:ind w:left="360"/>
        <w:rPr>
          <w:lang w:val="fr-FR"/>
        </w:rPr>
      </w:pPr>
      <w:r>
        <w:rPr>
          <w:lang w:val="fr-FR"/>
        </w:rPr>
        <w:t xml:space="preserve">Les progrès seront </w:t>
      </w:r>
      <w:r w:rsidR="0035009B">
        <w:rPr>
          <w:lang w:val="fr-FR"/>
        </w:rPr>
        <w:t xml:space="preserve">évalués </w:t>
      </w:r>
      <w:r>
        <w:rPr>
          <w:lang w:val="fr-FR"/>
        </w:rPr>
        <w:t>dans les domaines suivants :</w:t>
      </w:r>
      <w:r w:rsidR="00951D36" w:rsidRPr="00BB4B1A">
        <w:rPr>
          <w:lang w:val="fr-FR"/>
        </w:rPr>
        <w:t xml:space="preserve"> </w:t>
      </w:r>
    </w:p>
    <w:p w14:paraId="71264539" w14:textId="77777777" w:rsidR="00951D36" w:rsidRPr="00BB4B1A" w:rsidRDefault="00922912" w:rsidP="00BA67CE">
      <w:pPr>
        <w:pStyle w:val="ListParagraph"/>
        <w:numPr>
          <w:ilvl w:val="0"/>
          <w:numId w:val="30"/>
        </w:numPr>
        <w:pBdr>
          <w:top w:val="single" w:sz="4" w:space="1" w:color="auto"/>
          <w:bottom w:val="single" w:sz="4" w:space="1" w:color="auto"/>
        </w:pBdr>
        <w:shd w:val="clear" w:color="auto" w:fill="FFFFFF" w:themeFill="background1"/>
        <w:rPr>
          <w:lang w:val="fr-FR"/>
        </w:rPr>
      </w:pPr>
      <w:r>
        <w:rPr>
          <w:lang w:val="fr-FR"/>
        </w:rPr>
        <w:t>Redevabilité mutuelle en matière de résultats</w:t>
      </w:r>
      <w:r w:rsidR="00951D36" w:rsidRPr="00BB4B1A">
        <w:rPr>
          <w:lang w:val="fr-FR"/>
        </w:rPr>
        <w:t xml:space="preserve"> </w:t>
      </w:r>
    </w:p>
    <w:p w14:paraId="643A7D1D" w14:textId="77777777" w:rsidR="00951D36" w:rsidRPr="00BB4B1A" w:rsidRDefault="00922912" w:rsidP="00BA67CE">
      <w:pPr>
        <w:pStyle w:val="ListParagraph"/>
        <w:numPr>
          <w:ilvl w:val="0"/>
          <w:numId w:val="30"/>
        </w:numPr>
        <w:pBdr>
          <w:top w:val="single" w:sz="4" w:space="1" w:color="auto"/>
          <w:bottom w:val="single" w:sz="4" w:space="1" w:color="auto"/>
        </w:pBdr>
        <w:spacing w:after="0"/>
        <w:rPr>
          <w:lang w:val="fr-FR"/>
        </w:rPr>
      </w:pPr>
      <w:r>
        <w:rPr>
          <w:lang w:val="fr-FR"/>
        </w:rPr>
        <w:t xml:space="preserve">Renforcement et utilisation des systèmes nationaux de gestion financière </w:t>
      </w:r>
    </w:p>
    <w:p w14:paraId="32DEA078" w14:textId="77777777" w:rsidR="00951D36" w:rsidRPr="00BB4B1A" w:rsidRDefault="00922912" w:rsidP="00BA67CE">
      <w:pPr>
        <w:pStyle w:val="ListParagraph"/>
        <w:numPr>
          <w:ilvl w:val="0"/>
          <w:numId w:val="30"/>
        </w:numPr>
        <w:pBdr>
          <w:top w:val="single" w:sz="4" w:space="1" w:color="auto"/>
          <w:bottom w:val="single" w:sz="4" w:space="1" w:color="auto"/>
        </w:pBdr>
        <w:spacing w:before="120" w:after="0"/>
        <w:rPr>
          <w:lang w:val="fr-FR"/>
        </w:rPr>
      </w:pPr>
      <w:r>
        <w:rPr>
          <w:lang w:val="fr-FR"/>
        </w:rPr>
        <w:t>Une proportion accrue de l’aide à la santé est inscrite au budget et plus prévisible</w:t>
      </w:r>
    </w:p>
    <w:p w14:paraId="21BEFAC1" w14:textId="77777777" w:rsidR="00951D36" w:rsidRPr="00BB4B1A" w:rsidRDefault="00922912" w:rsidP="00BA67CE">
      <w:pPr>
        <w:pStyle w:val="ListParagraph"/>
        <w:numPr>
          <w:ilvl w:val="0"/>
          <w:numId w:val="30"/>
        </w:numPr>
        <w:pBdr>
          <w:top w:val="single" w:sz="4" w:space="1" w:color="auto"/>
          <w:bottom w:val="single" w:sz="4" w:space="1" w:color="auto"/>
        </w:pBdr>
        <w:spacing w:after="0"/>
        <w:rPr>
          <w:lang w:val="fr-FR"/>
        </w:rPr>
      </w:pPr>
      <w:r>
        <w:rPr>
          <w:lang w:val="fr-FR"/>
        </w:rPr>
        <w:t xml:space="preserve">Accord obtenu sur les priorités </w:t>
      </w:r>
      <w:r w:rsidR="0035009B">
        <w:rPr>
          <w:lang w:val="fr-FR"/>
        </w:rPr>
        <w:t xml:space="preserve">telles que </w:t>
      </w:r>
      <w:r>
        <w:rPr>
          <w:lang w:val="fr-FR"/>
        </w:rPr>
        <w:t>reflétées dans une stratégie nationale unique et étay</w:t>
      </w:r>
      <w:r w:rsidR="002C449E">
        <w:rPr>
          <w:lang w:val="fr-FR"/>
        </w:rPr>
        <w:t>é</w:t>
      </w:r>
      <w:r>
        <w:rPr>
          <w:lang w:val="fr-FR"/>
        </w:rPr>
        <w:t xml:space="preserve">e </w:t>
      </w:r>
      <w:r w:rsidR="002C449E">
        <w:rPr>
          <w:lang w:val="fr-FR"/>
        </w:rPr>
        <w:t xml:space="preserve">par </w:t>
      </w:r>
      <w:r>
        <w:rPr>
          <w:lang w:val="fr-FR"/>
        </w:rPr>
        <w:t xml:space="preserve">des stratégies sous-sectorielles, </w:t>
      </w:r>
      <w:r w:rsidR="0035009B">
        <w:rPr>
          <w:lang w:val="fr-FR"/>
        </w:rPr>
        <w:t xml:space="preserve">à travers </w:t>
      </w:r>
      <w:r>
        <w:rPr>
          <w:lang w:val="fr-FR"/>
        </w:rPr>
        <w:t xml:space="preserve">un processus inclusif </w:t>
      </w:r>
      <w:r w:rsidR="0035009B">
        <w:rPr>
          <w:lang w:val="fr-FR"/>
        </w:rPr>
        <w:t xml:space="preserve">d’élaboration </w:t>
      </w:r>
      <w:r>
        <w:rPr>
          <w:lang w:val="fr-FR"/>
        </w:rPr>
        <w:t xml:space="preserve">et d’évaluation conjointe, et une réduction des </w:t>
      </w:r>
      <w:r w:rsidR="0035009B">
        <w:rPr>
          <w:lang w:val="fr-FR"/>
        </w:rPr>
        <w:t xml:space="preserve">exercices programmatiques </w:t>
      </w:r>
      <w:r>
        <w:rPr>
          <w:lang w:val="fr-FR"/>
        </w:rPr>
        <w:t>séparés</w:t>
      </w:r>
    </w:p>
    <w:p w14:paraId="36A68BD1" w14:textId="77777777" w:rsidR="00951D36" w:rsidRPr="00BB4B1A" w:rsidRDefault="00922912" w:rsidP="00BA67CE">
      <w:pPr>
        <w:pStyle w:val="ListParagraph"/>
        <w:numPr>
          <w:ilvl w:val="0"/>
          <w:numId w:val="30"/>
        </w:numPr>
        <w:pBdr>
          <w:top w:val="single" w:sz="4" w:space="1" w:color="auto"/>
          <w:bottom w:val="single" w:sz="4" w:space="1" w:color="auto"/>
        </w:pBdr>
        <w:spacing w:after="0"/>
        <w:rPr>
          <w:lang w:val="fr-FR"/>
        </w:rPr>
      </w:pPr>
      <w:r>
        <w:rPr>
          <w:lang w:val="fr-FR"/>
        </w:rPr>
        <w:t>Participation améliorée de la société civile aux processus de développement de la santé</w:t>
      </w:r>
    </w:p>
    <w:p w14:paraId="2E4E9244" w14:textId="77777777" w:rsidR="003825F3" w:rsidRPr="00BB4B1A" w:rsidRDefault="00503F53" w:rsidP="00503F53">
      <w:pPr>
        <w:spacing w:before="120" w:after="0"/>
        <w:ind w:left="357"/>
        <w:rPr>
          <w:i/>
          <w:lang w:val="fr-FR"/>
        </w:rPr>
      </w:pPr>
      <w:r w:rsidRPr="00BB4B1A">
        <w:rPr>
          <w:i/>
          <w:lang w:val="fr-FR"/>
        </w:rPr>
        <w:tab/>
      </w:r>
      <w:r w:rsidR="003825F3" w:rsidRPr="00BB4B1A">
        <w:rPr>
          <w:i/>
          <w:lang w:val="fr-FR"/>
        </w:rPr>
        <w:t>Acti</w:t>
      </w:r>
      <w:r w:rsidR="00922912">
        <w:rPr>
          <w:i/>
          <w:lang w:val="fr-FR"/>
        </w:rPr>
        <w:t>vités</w:t>
      </w:r>
    </w:p>
    <w:p w14:paraId="174DFD2B" w14:textId="77777777" w:rsidR="003825F3" w:rsidRPr="00BB4B1A" w:rsidRDefault="0035009B" w:rsidP="00503F53">
      <w:pPr>
        <w:pStyle w:val="ListParagraph"/>
        <w:numPr>
          <w:ilvl w:val="0"/>
          <w:numId w:val="28"/>
        </w:numPr>
        <w:spacing w:after="0"/>
        <w:ind w:left="1077" w:hanging="357"/>
        <w:rPr>
          <w:lang w:val="fr-FR"/>
        </w:rPr>
      </w:pPr>
      <w:r>
        <w:rPr>
          <w:lang w:val="fr-FR"/>
        </w:rPr>
        <w:t>Sélection du p</w:t>
      </w:r>
      <w:r w:rsidR="00922912">
        <w:rPr>
          <w:lang w:val="fr-FR"/>
        </w:rPr>
        <w:t>restataire pour le prochain rapport mondial sur les progrès des engagements des partenaires de l’IHP+</w:t>
      </w:r>
      <w:r>
        <w:rPr>
          <w:lang w:val="fr-FR"/>
        </w:rPr>
        <w:t>.</w:t>
      </w:r>
      <w:r w:rsidR="00922912">
        <w:rPr>
          <w:lang w:val="fr-FR"/>
        </w:rPr>
        <w:t xml:space="preserve"> </w:t>
      </w:r>
    </w:p>
    <w:p w14:paraId="25F61285" w14:textId="77777777" w:rsidR="00166D78" w:rsidRPr="00BB4B1A" w:rsidRDefault="00486DE5" w:rsidP="00D20159">
      <w:pPr>
        <w:pStyle w:val="ListParagraph"/>
        <w:numPr>
          <w:ilvl w:val="0"/>
          <w:numId w:val="28"/>
        </w:numPr>
        <w:spacing w:before="120" w:after="0"/>
        <w:rPr>
          <w:lang w:val="fr-FR"/>
        </w:rPr>
      </w:pPr>
      <w:r w:rsidRPr="00BB4B1A">
        <w:rPr>
          <w:lang w:val="fr-FR"/>
        </w:rPr>
        <w:t>S</w:t>
      </w:r>
      <w:r w:rsidR="00922912">
        <w:rPr>
          <w:lang w:val="fr-FR"/>
        </w:rPr>
        <w:t>outien pour l’établissement de rapports nationaux, le cas échéant</w:t>
      </w:r>
      <w:r w:rsidR="0035009B">
        <w:rPr>
          <w:lang w:val="fr-FR"/>
        </w:rPr>
        <w:t>.</w:t>
      </w:r>
    </w:p>
    <w:p w14:paraId="6C313F1F" w14:textId="77777777" w:rsidR="00E70F91" w:rsidRPr="00BB4B1A" w:rsidRDefault="00922912" w:rsidP="00503F53">
      <w:pPr>
        <w:pStyle w:val="ListParagraph"/>
        <w:numPr>
          <w:ilvl w:val="0"/>
          <w:numId w:val="28"/>
        </w:numPr>
        <w:spacing w:after="0"/>
        <w:ind w:left="1077" w:hanging="357"/>
        <w:rPr>
          <w:lang w:val="fr-FR"/>
        </w:rPr>
      </w:pPr>
      <w:r>
        <w:rPr>
          <w:lang w:val="fr-FR"/>
        </w:rPr>
        <w:t xml:space="preserve">Dans deux autres domaines, </w:t>
      </w:r>
      <w:r w:rsidR="0035009B">
        <w:rPr>
          <w:lang w:val="fr-FR"/>
        </w:rPr>
        <w:t xml:space="preserve">à savoir le </w:t>
      </w:r>
      <w:r>
        <w:rPr>
          <w:lang w:val="fr-FR"/>
        </w:rPr>
        <w:t xml:space="preserve">soutien </w:t>
      </w:r>
      <w:r w:rsidR="0035009B">
        <w:rPr>
          <w:lang w:val="fr-FR"/>
        </w:rPr>
        <w:t xml:space="preserve">à </w:t>
      </w:r>
      <w:r>
        <w:rPr>
          <w:lang w:val="fr-FR"/>
        </w:rPr>
        <w:t xml:space="preserve">un apprentissage plus systématique entre pays et </w:t>
      </w:r>
      <w:r w:rsidR="0035009B">
        <w:rPr>
          <w:lang w:val="fr-FR"/>
        </w:rPr>
        <w:t xml:space="preserve">une </w:t>
      </w:r>
      <w:r>
        <w:rPr>
          <w:lang w:val="fr-FR"/>
        </w:rPr>
        <w:t xml:space="preserve">assistance technique </w:t>
      </w:r>
      <w:r w:rsidR="0035009B">
        <w:rPr>
          <w:lang w:val="fr-FR"/>
        </w:rPr>
        <w:t xml:space="preserve">planifiée de façon </w:t>
      </w:r>
      <w:r>
        <w:rPr>
          <w:lang w:val="fr-FR"/>
        </w:rPr>
        <w:t>stratégique et bien coordonnée, des indicateurs seront mis au point dans le cadre du programme de travail 2014/15 (voir lien vers les points 3.1 et 3.2)</w:t>
      </w:r>
      <w:r w:rsidR="00E70F91" w:rsidRPr="00BB4B1A">
        <w:rPr>
          <w:lang w:val="fr-FR"/>
        </w:rPr>
        <w:t xml:space="preserve">.  </w:t>
      </w:r>
    </w:p>
    <w:p w14:paraId="384F7B0D" w14:textId="77777777" w:rsidR="00166D78" w:rsidRPr="00BB4B1A" w:rsidRDefault="00922912" w:rsidP="00166D78">
      <w:pPr>
        <w:spacing w:before="120" w:after="0"/>
        <w:ind w:left="720"/>
        <w:rPr>
          <w:i/>
          <w:lang w:val="fr-FR"/>
        </w:rPr>
      </w:pPr>
      <w:r>
        <w:rPr>
          <w:i/>
          <w:lang w:val="fr-FR"/>
        </w:rPr>
        <w:t>Repères</w:t>
      </w:r>
    </w:p>
    <w:tbl>
      <w:tblPr>
        <w:tblStyle w:val="TableGri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559"/>
      </w:tblGrid>
      <w:tr w:rsidR="0035009B" w:rsidRPr="0035009B" w14:paraId="691401CC" w14:textId="77777777" w:rsidTr="0035009B">
        <w:tc>
          <w:tcPr>
            <w:tcW w:w="7371" w:type="dxa"/>
          </w:tcPr>
          <w:p w14:paraId="5C30860D" w14:textId="77777777" w:rsidR="0035009B" w:rsidRPr="0035009B" w:rsidRDefault="0035009B" w:rsidP="00B46DA2">
            <w:pPr>
              <w:rPr>
                <w:lang w:val="fr-FR"/>
              </w:rPr>
            </w:pPr>
            <w:r w:rsidRPr="0035009B">
              <w:rPr>
                <w:lang w:val="fr-FR"/>
              </w:rPr>
              <w:t>Prestataire sélectionné par un groupe d’examen formé des partenaires de l’IHP+</w:t>
            </w:r>
          </w:p>
        </w:tc>
        <w:tc>
          <w:tcPr>
            <w:tcW w:w="1559" w:type="dxa"/>
          </w:tcPr>
          <w:p w14:paraId="4C9382E1" w14:textId="77777777" w:rsidR="0035009B" w:rsidRDefault="0035009B" w:rsidP="00B46DA2">
            <w:pPr>
              <w:rPr>
                <w:lang w:val="fr-FR"/>
              </w:rPr>
            </w:pPr>
          </w:p>
          <w:p w14:paraId="5210C9A1" w14:textId="77777777" w:rsidR="0035009B" w:rsidRPr="0035009B" w:rsidRDefault="0035009B" w:rsidP="00B46DA2">
            <w:pPr>
              <w:rPr>
                <w:lang w:val="fr-FR"/>
              </w:rPr>
            </w:pPr>
            <w:r>
              <w:rPr>
                <w:lang w:val="fr-FR"/>
              </w:rPr>
              <w:t>Février 2014</w:t>
            </w:r>
          </w:p>
        </w:tc>
      </w:tr>
      <w:tr w:rsidR="0035009B" w:rsidRPr="0035009B" w14:paraId="449E5187" w14:textId="77777777" w:rsidTr="0035009B">
        <w:tc>
          <w:tcPr>
            <w:tcW w:w="7371" w:type="dxa"/>
          </w:tcPr>
          <w:p w14:paraId="3F95E6EC" w14:textId="77777777" w:rsidR="0035009B" w:rsidRPr="0035009B" w:rsidRDefault="0035009B" w:rsidP="00B46DA2">
            <w:pPr>
              <w:pStyle w:val="ListParagraph"/>
              <w:ind w:left="0"/>
              <w:rPr>
                <w:lang w:val="fr-FR"/>
              </w:rPr>
            </w:pPr>
            <w:r w:rsidRPr="0035009B">
              <w:rPr>
                <w:lang w:val="fr-FR"/>
              </w:rPr>
              <w:t>Rapport mondial sur les progrès en matière d’engagements en faveur d’une coopération efficace au service du développement dans la santé</w:t>
            </w:r>
          </w:p>
        </w:tc>
        <w:tc>
          <w:tcPr>
            <w:tcW w:w="1559" w:type="dxa"/>
          </w:tcPr>
          <w:p w14:paraId="74C8B037" w14:textId="77777777" w:rsidR="0035009B" w:rsidRDefault="0035009B" w:rsidP="00B46DA2">
            <w:pPr>
              <w:pStyle w:val="ListParagraph"/>
              <w:ind w:left="0"/>
              <w:rPr>
                <w:lang w:val="fr-FR"/>
              </w:rPr>
            </w:pPr>
          </w:p>
          <w:p w14:paraId="521D2EEE" w14:textId="77777777" w:rsidR="0035009B" w:rsidRPr="0035009B" w:rsidRDefault="0035009B" w:rsidP="00B46DA2">
            <w:pPr>
              <w:pStyle w:val="ListParagraph"/>
              <w:ind w:left="0"/>
              <w:rPr>
                <w:lang w:val="fr-FR"/>
              </w:rPr>
            </w:pPr>
            <w:r w:rsidRPr="0035009B">
              <w:rPr>
                <w:lang w:val="fr-FR"/>
              </w:rPr>
              <w:t>Octobre 2014</w:t>
            </w:r>
          </w:p>
        </w:tc>
      </w:tr>
    </w:tbl>
    <w:p w14:paraId="08AA858F" w14:textId="77777777" w:rsidR="007C56AD" w:rsidRPr="00BB4B1A" w:rsidRDefault="007C56AD" w:rsidP="00A82746">
      <w:pPr>
        <w:pStyle w:val="ListParagraph"/>
        <w:spacing w:after="0"/>
        <w:rPr>
          <w:lang w:val="fr-FR"/>
        </w:rPr>
      </w:pPr>
    </w:p>
    <w:p w14:paraId="10D26671" w14:textId="77777777" w:rsidR="00E13B5D" w:rsidRPr="00BB4B1A" w:rsidRDefault="00430E96" w:rsidP="00830015">
      <w:pPr>
        <w:spacing w:before="120" w:after="0"/>
        <w:ind w:left="360"/>
        <w:rPr>
          <w:b/>
          <w:sz w:val="24"/>
          <w:szCs w:val="24"/>
          <w:lang w:val="fr-FR"/>
        </w:rPr>
      </w:pPr>
      <w:r w:rsidRPr="00BB4B1A">
        <w:rPr>
          <w:b/>
          <w:sz w:val="24"/>
          <w:szCs w:val="24"/>
          <w:lang w:val="fr-FR"/>
        </w:rPr>
        <w:t>C.</w:t>
      </w:r>
      <w:r w:rsidR="003A060F" w:rsidRPr="00BB4B1A">
        <w:rPr>
          <w:b/>
          <w:sz w:val="24"/>
          <w:szCs w:val="24"/>
          <w:lang w:val="fr-FR"/>
        </w:rPr>
        <w:t xml:space="preserve">2 </w:t>
      </w:r>
      <w:r w:rsidR="00922912">
        <w:rPr>
          <w:b/>
          <w:sz w:val="24"/>
          <w:szCs w:val="24"/>
          <w:lang w:val="fr-FR"/>
        </w:rPr>
        <w:t>Documentation q</w:t>
      </w:r>
      <w:r w:rsidR="003A060F" w:rsidRPr="00BB4B1A">
        <w:rPr>
          <w:b/>
          <w:sz w:val="24"/>
          <w:szCs w:val="24"/>
          <w:lang w:val="fr-FR"/>
        </w:rPr>
        <w:t xml:space="preserve">ualitative </w:t>
      </w:r>
      <w:r w:rsidR="00922912">
        <w:rPr>
          <w:b/>
          <w:sz w:val="24"/>
          <w:szCs w:val="24"/>
          <w:lang w:val="fr-FR"/>
        </w:rPr>
        <w:t>des progrès, résultats et leçons tirées sur le changement de comportement</w:t>
      </w:r>
    </w:p>
    <w:p w14:paraId="72B0A5F5" w14:textId="77777777" w:rsidR="00E13B5D" w:rsidRPr="00BB4B1A" w:rsidRDefault="00E13B5D" w:rsidP="00E13B5D">
      <w:pPr>
        <w:spacing w:before="120" w:after="0"/>
        <w:ind w:firstLine="720"/>
        <w:rPr>
          <w:i/>
          <w:lang w:val="fr-FR"/>
        </w:rPr>
      </w:pPr>
      <w:r w:rsidRPr="00BB4B1A">
        <w:rPr>
          <w:i/>
          <w:lang w:val="fr-FR"/>
        </w:rPr>
        <w:t>Acti</w:t>
      </w:r>
      <w:r w:rsidR="00922912">
        <w:rPr>
          <w:i/>
          <w:lang w:val="fr-FR"/>
        </w:rPr>
        <w:t>vités</w:t>
      </w:r>
    </w:p>
    <w:p w14:paraId="7DDBAEF2" w14:textId="77777777" w:rsidR="00B620FD" w:rsidRPr="00BB4B1A" w:rsidRDefault="00922912" w:rsidP="002B5286">
      <w:pPr>
        <w:pStyle w:val="ListParagraph"/>
        <w:numPr>
          <w:ilvl w:val="0"/>
          <w:numId w:val="33"/>
        </w:numPr>
        <w:spacing w:after="0"/>
        <w:rPr>
          <w:lang w:val="fr-FR"/>
        </w:rPr>
      </w:pPr>
      <w:r>
        <w:rPr>
          <w:lang w:val="fr-FR"/>
        </w:rPr>
        <w:t>Deux fois par an, documentation des progrès</w:t>
      </w:r>
      <w:r w:rsidR="00E13B5D" w:rsidRPr="00BB4B1A">
        <w:rPr>
          <w:lang w:val="fr-FR"/>
        </w:rPr>
        <w:t xml:space="preserve">, </w:t>
      </w:r>
      <w:r>
        <w:rPr>
          <w:lang w:val="fr-FR"/>
        </w:rPr>
        <w:t xml:space="preserve">des résultats et des leçons tirées dans les pays soutenant une </w:t>
      </w:r>
      <w:r w:rsidR="00462464">
        <w:rPr>
          <w:lang w:val="fr-FR"/>
        </w:rPr>
        <w:t>intensification de l’</w:t>
      </w:r>
      <w:r>
        <w:rPr>
          <w:lang w:val="fr-FR"/>
        </w:rPr>
        <w:t xml:space="preserve">action sur les sept comportements, sur la base d’activités, d’objectifs et de calendriers acceptés </w:t>
      </w:r>
      <w:r w:rsidR="00462464">
        <w:rPr>
          <w:lang w:val="fr-FR"/>
        </w:rPr>
        <w:t>localement</w:t>
      </w:r>
      <w:r>
        <w:rPr>
          <w:lang w:val="fr-FR"/>
        </w:rPr>
        <w:t>, et un ensemble commun de questions, notamment comment le changement a été géré. Davantage de travail est nécessaire pour définir comment cela est le mieux réalisé dans les pays individuels. Liens vers le point A2. Analyse des modes émergents dans les pays concernant la coopération au développement dans la santé en général et les sept comportements en particulier, en se fondant sur l’expérience pertinente aussi bien dans les pays collaborant avec l’action intensifiée de l’IHP+ que dans d’autres. Les données factuelles émanant d’une analyse plus large devraient donner plus de force à toute recommandation mondiale formulée par l’IHP+.</w:t>
      </w:r>
    </w:p>
    <w:p w14:paraId="6FD37F5C" w14:textId="77777777" w:rsidR="00922912" w:rsidRDefault="00922912" w:rsidP="007D2F66">
      <w:pPr>
        <w:pStyle w:val="ListParagraph"/>
        <w:rPr>
          <w:i/>
          <w:lang w:val="fr-FR"/>
        </w:rPr>
      </w:pPr>
    </w:p>
    <w:p w14:paraId="1FC9D998" w14:textId="77777777" w:rsidR="00FA60D8" w:rsidRPr="00BB4B1A" w:rsidRDefault="00922912" w:rsidP="007D2F66">
      <w:pPr>
        <w:pStyle w:val="ListParagraph"/>
        <w:rPr>
          <w:i/>
          <w:lang w:val="fr-FR"/>
        </w:rPr>
      </w:pPr>
      <w:r>
        <w:rPr>
          <w:i/>
          <w:lang w:val="fr-FR"/>
        </w:rPr>
        <w:t>Repères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246"/>
      </w:tblGrid>
      <w:tr w:rsidR="00462464" w:rsidRPr="00462464" w14:paraId="666AB11C" w14:textId="77777777" w:rsidTr="00462464">
        <w:tc>
          <w:tcPr>
            <w:tcW w:w="7513" w:type="dxa"/>
          </w:tcPr>
          <w:p w14:paraId="1DAD68B9" w14:textId="77777777" w:rsidR="00462464" w:rsidRPr="00462464" w:rsidRDefault="00462464" w:rsidP="00254623">
            <w:pPr>
              <w:pStyle w:val="ListParagraph"/>
              <w:ind w:left="0"/>
              <w:rPr>
                <w:lang w:val="fr-FR"/>
              </w:rPr>
            </w:pPr>
            <w:r w:rsidRPr="00462464">
              <w:rPr>
                <w:lang w:val="fr-FR"/>
              </w:rPr>
              <w:t>Documentation sur les progrès et les résultats d’une action intensifiée</w:t>
            </w:r>
          </w:p>
        </w:tc>
        <w:tc>
          <w:tcPr>
            <w:tcW w:w="1246" w:type="dxa"/>
          </w:tcPr>
          <w:p w14:paraId="20974625" w14:textId="77777777" w:rsidR="00462464" w:rsidRPr="00462464" w:rsidRDefault="00462464" w:rsidP="00254623">
            <w:pPr>
              <w:pStyle w:val="ListParagraph"/>
              <w:ind w:left="0"/>
              <w:rPr>
                <w:lang w:val="fr-FR"/>
              </w:rPr>
            </w:pPr>
            <w:r w:rsidRPr="00462464">
              <w:rPr>
                <w:lang w:val="fr-FR"/>
              </w:rPr>
              <w:t>2014/15</w:t>
            </w:r>
          </w:p>
        </w:tc>
      </w:tr>
      <w:tr w:rsidR="00462464" w:rsidRPr="00462464" w14:paraId="6FBCBF8B" w14:textId="77777777" w:rsidTr="00462464">
        <w:tc>
          <w:tcPr>
            <w:tcW w:w="7513" w:type="dxa"/>
          </w:tcPr>
          <w:p w14:paraId="26197DCD" w14:textId="77777777" w:rsidR="00462464" w:rsidRPr="00462464" w:rsidRDefault="00462464" w:rsidP="00254623">
            <w:pPr>
              <w:pStyle w:val="ListParagraph"/>
              <w:ind w:left="0"/>
              <w:rPr>
                <w:lang w:val="fr-FR"/>
              </w:rPr>
            </w:pPr>
            <w:r w:rsidRPr="00462464">
              <w:rPr>
                <w:lang w:val="fr-FR"/>
              </w:rPr>
              <w:lastRenderedPageBreak/>
              <w:t>Documentation des modes émergents dans la coopération au développement</w:t>
            </w:r>
          </w:p>
        </w:tc>
        <w:tc>
          <w:tcPr>
            <w:tcW w:w="1246" w:type="dxa"/>
          </w:tcPr>
          <w:p w14:paraId="3AFBFA43" w14:textId="77777777" w:rsidR="00462464" w:rsidRPr="00462464" w:rsidRDefault="00462464" w:rsidP="00254623">
            <w:pPr>
              <w:pStyle w:val="ListParagraph"/>
              <w:ind w:left="0"/>
              <w:rPr>
                <w:lang w:val="fr-FR"/>
              </w:rPr>
            </w:pPr>
            <w:r w:rsidRPr="00462464">
              <w:rPr>
                <w:lang w:val="fr-FR"/>
              </w:rPr>
              <w:t>2014/15</w:t>
            </w:r>
          </w:p>
        </w:tc>
      </w:tr>
    </w:tbl>
    <w:p w14:paraId="370D2438" w14:textId="77777777" w:rsidR="00A20B92" w:rsidRPr="00BB4B1A" w:rsidRDefault="00A20B92" w:rsidP="00F83FC1">
      <w:pPr>
        <w:pStyle w:val="ListParagraph"/>
        <w:spacing w:after="0"/>
        <w:rPr>
          <w:lang w:val="fr-FR"/>
        </w:rPr>
      </w:pPr>
    </w:p>
    <w:p w14:paraId="0E334167" w14:textId="77777777" w:rsidR="00FA60D8" w:rsidRPr="00BB4B1A" w:rsidRDefault="00430E96" w:rsidP="00F83FC1">
      <w:pPr>
        <w:spacing w:after="0"/>
        <w:ind w:left="360"/>
        <w:rPr>
          <w:b/>
          <w:sz w:val="24"/>
          <w:szCs w:val="24"/>
          <w:lang w:val="fr-FR"/>
        </w:rPr>
      </w:pPr>
      <w:r w:rsidRPr="00BB4B1A">
        <w:rPr>
          <w:b/>
          <w:sz w:val="24"/>
          <w:szCs w:val="24"/>
          <w:lang w:val="fr-FR"/>
        </w:rPr>
        <w:t xml:space="preserve">C.3 </w:t>
      </w:r>
      <w:r w:rsidR="00922912">
        <w:rPr>
          <w:b/>
          <w:sz w:val="24"/>
          <w:szCs w:val="24"/>
          <w:lang w:val="fr-FR"/>
        </w:rPr>
        <w:t>Cinquième réunion des équipes nationales de santé, début décembre 2014</w:t>
      </w:r>
    </w:p>
    <w:p w14:paraId="5F60C3B7" w14:textId="77777777" w:rsidR="00AD4EB0" w:rsidRPr="00BB4B1A" w:rsidRDefault="00922912" w:rsidP="00BA67CE">
      <w:pPr>
        <w:ind w:left="357"/>
        <w:rPr>
          <w:lang w:val="fr-FR"/>
        </w:rPr>
      </w:pPr>
      <w:r>
        <w:rPr>
          <w:lang w:val="fr-FR"/>
        </w:rPr>
        <w:t>La réunion des équipes nationales de santé sert d</w:t>
      </w:r>
      <w:r w:rsidR="00462464">
        <w:rPr>
          <w:lang w:val="fr-FR"/>
        </w:rPr>
        <w:t xml:space="preserve">’important </w:t>
      </w:r>
      <w:r>
        <w:rPr>
          <w:lang w:val="fr-FR"/>
        </w:rPr>
        <w:t xml:space="preserve">forum pour discuter des progrès et </w:t>
      </w:r>
      <w:r w:rsidR="00462464">
        <w:rPr>
          <w:lang w:val="fr-FR"/>
        </w:rPr>
        <w:t xml:space="preserve">dresser </w:t>
      </w:r>
      <w:r>
        <w:rPr>
          <w:lang w:val="fr-FR"/>
        </w:rPr>
        <w:t>le bilan avec tous les signataires.</w:t>
      </w:r>
      <w:r w:rsidR="00AD4EB0" w:rsidRPr="00BB4B1A">
        <w:rPr>
          <w:lang w:val="fr-FR"/>
        </w:rPr>
        <w:t xml:space="preserve"> </w:t>
      </w:r>
    </w:p>
    <w:p w14:paraId="1E411F45" w14:textId="77777777" w:rsidR="00956FB4" w:rsidRPr="00BB4B1A" w:rsidRDefault="00486DE5" w:rsidP="00BF5134">
      <w:pPr>
        <w:spacing w:after="0"/>
        <w:ind w:left="357"/>
        <w:rPr>
          <w:lang w:val="fr-FR"/>
        </w:rPr>
      </w:pPr>
      <w:r w:rsidRPr="00BB4B1A">
        <w:rPr>
          <w:i/>
          <w:lang w:val="fr-FR"/>
        </w:rPr>
        <w:t>Acti</w:t>
      </w:r>
      <w:r w:rsidR="00922912">
        <w:rPr>
          <w:i/>
          <w:lang w:val="fr-FR"/>
        </w:rPr>
        <w:t>vité :</w:t>
      </w:r>
      <w:r w:rsidR="00BF5134" w:rsidRPr="00BB4B1A">
        <w:rPr>
          <w:i/>
          <w:lang w:val="fr-FR"/>
        </w:rPr>
        <w:t xml:space="preserve"> </w:t>
      </w:r>
      <w:r w:rsidRPr="00BB4B1A">
        <w:rPr>
          <w:lang w:val="fr-FR"/>
        </w:rPr>
        <w:t>Pr</w:t>
      </w:r>
      <w:r w:rsidR="00922912">
        <w:rPr>
          <w:lang w:val="fr-FR"/>
        </w:rPr>
        <w:t>é</w:t>
      </w:r>
      <w:r w:rsidRPr="00BB4B1A">
        <w:rPr>
          <w:lang w:val="fr-FR"/>
        </w:rPr>
        <w:t xml:space="preserve">paration </w:t>
      </w:r>
      <w:r w:rsidR="00922912">
        <w:rPr>
          <w:lang w:val="fr-FR"/>
        </w:rPr>
        <w:t>de la prochaine réunion des équipes nationales de santé de l’IHP+ à laquelle tous les partenaires de l’IHP+ sont invités, par l’Équipe de base, en consultation avec le Groupe de référence.</w:t>
      </w:r>
    </w:p>
    <w:p w14:paraId="43596119" w14:textId="77777777" w:rsidR="00AD4EB0" w:rsidRPr="00922912" w:rsidRDefault="008F2A6E" w:rsidP="00BF5134">
      <w:pPr>
        <w:spacing w:after="0"/>
        <w:ind w:left="357"/>
        <w:rPr>
          <w:i/>
          <w:lang w:val="fr-FR"/>
        </w:rPr>
      </w:pPr>
      <w:r w:rsidRPr="00BB4B1A">
        <w:rPr>
          <w:lang w:val="fr-FR"/>
        </w:rPr>
        <w:tab/>
      </w:r>
      <w:r w:rsidR="00922912" w:rsidRPr="00922912">
        <w:rPr>
          <w:i/>
          <w:lang w:val="fr-FR"/>
        </w:rPr>
        <w:t>Repère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955"/>
      </w:tblGrid>
      <w:tr w:rsidR="00462464" w:rsidRPr="00462464" w14:paraId="35DF1C3D" w14:textId="77777777" w:rsidTr="00462464">
        <w:tc>
          <w:tcPr>
            <w:tcW w:w="6804" w:type="dxa"/>
          </w:tcPr>
          <w:p w14:paraId="56EEDD6A" w14:textId="77777777" w:rsidR="00462464" w:rsidRPr="00462464" w:rsidRDefault="00462464" w:rsidP="00462464">
            <w:pPr>
              <w:rPr>
                <w:lang w:val="fr-FR"/>
              </w:rPr>
            </w:pPr>
            <w:r>
              <w:rPr>
                <w:lang w:val="fr-FR"/>
              </w:rPr>
              <w:t xml:space="preserve">Tenue de la cinquième </w:t>
            </w:r>
            <w:r w:rsidRPr="00462464">
              <w:rPr>
                <w:lang w:val="fr-FR"/>
              </w:rPr>
              <w:t xml:space="preserve">réunion des équipes nationales de santé </w:t>
            </w:r>
          </w:p>
        </w:tc>
        <w:tc>
          <w:tcPr>
            <w:tcW w:w="1955" w:type="dxa"/>
          </w:tcPr>
          <w:p w14:paraId="24B1037A" w14:textId="77777777" w:rsidR="00462464" w:rsidRPr="00462464" w:rsidRDefault="00462464" w:rsidP="00E428A8">
            <w:pPr>
              <w:rPr>
                <w:lang w:val="fr-FR"/>
              </w:rPr>
            </w:pPr>
            <w:r w:rsidRPr="00462464">
              <w:rPr>
                <w:lang w:val="fr-FR"/>
              </w:rPr>
              <w:t>4</w:t>
            </w:r>
            <w:r w:rsidRPr="00462464">
              <w:rPr>
                <w:vertAlign w:val="superscript"/>
                <w:lang w:val="fr-FR"/>
              </w:rPr>
              <w:t>e</w:t>
            </w:r>
            <w:r w:rsidRPr="00462464">
              <w:rPr>
                <w:lang w:val="fr-FR"/>
              </w:rPr>
              <w:t xml:space="preserve"> trimestre 2014</w:t>
            </w:r>
          </w:p>
        </w:tc>
      </w:tr>
    </w:tbl>
    <w:p w14:paraId="4B4B1D7C" w14:textId="77777777" w:rsidR="008F2A6E" w:rsidRPr="00BB4B1A" w:rsidRDefault="008F2A6E" w:rsidP="00BF5134">
      <w:pPr>
        <w:spacing w:after="0"/>
        <w:ind w:left="357"/>
        <w:rPr>
          <w:lang w:val="fr-FR"/>
        </w:rPr>
      </w:pPr>
    </w:p>
    <w:p w14:paraId="1BB70946" w14:textId="77777777" w:rsidR="00241E59" w:rsidRPr="00BB4B1A" w:rsidRDefault="00C553C6" w:rsidP="004D4D96">
      <w:pPr>
        <w:ind w:firstLine="360"/>
        <w:rPr>
          <w:smallCaps/>
          <w:sz w:val="28"/>
          <w:szCs w:val="28"/>
          <w:lang w:val="fr-FR"/>
        </w:rPr>
      </w:pPr>
      <w:r w:rsidRPr="00BB4B1A">
        <w:rPr>
          <w:b/>
          <w:smallCaps/>
          <w:sz w:val="28"/>
          <w:szCs w:val="28"/>
          <w:lang w:val="fr-FR"/>
        </w:rPr>
        <w:t xml:space="preserve">D. </w:t>
      </w:r>
      <w:r w:rsidR="00F8209F">
        <w:rPr>
          <w:b/>
          <w:smallCaps/>
          <w:sz w:val="28"/>
          <w:szCs w:val="28"/>
          <w:lang w:val="fr-FR"/>
        </w:rPr>
        <w:t>Supervision, opérations et communications de l’</w:t>
      </w:r>
      <w:r w:rsidR="00241E59" w:rsidRPr="00BB4B1A">
        <w:rPr>
          <w:b/>
          <w:smallCaps/>
          <w:sz w:val="28"/>
          <w:szCs w:val="28"/>
          <w:lang w:val="fr-FR"/>
        </w:rPr>
        <w:t>IHP+</w:t>
      </w:r>
    </w:p>
    <w:p w14:paraId="57EB7322" w14:textId="77777777" w:rsidR="00956FB4" w:rsidRPr="00BB4B1A" w:rsidRDefault="00430E96" w:rsidP="001B3A71">
      <w:pPr>
        <w:shd w:val="clear" w:color="auto" w:fill="FFFFFF" w:themeFill="background1"/>
        <w:spacing w:after="0"/>
        <w:ind w:firstLine="360"/>
        <w:rPr>
          <w:rFonts w:ascii="Calibri" w:eastAsia="Calibri" w:hAnsi="Calibri" w:cs="Times New Roman"/>
          <w:b/>
          <w:sz w:val="24"/>
          <w:szCs w:val="24"/>
          <w:lang w:val="fr-FR"/>
        </w:rPr>
      </w:pPr>
      <w:r w:rsidRPr="00BB4B1A">
        <w:rPr>
          <w:rFonts w:ascii="Calibri" w:eastAsia="Calibri" w:hAnsi="Calibri" w:cs="Times New Roman"/>
          <w:b/>
          <w:sz w:val="24"/>
          <w:szCs w:val="24"/>
          <w:lang w:val="fr-FR"/>
        </w:rPr>
        <w:t xml:space="preserve">D.1 </w:t>
      </w:r>
      <w:r w:rsidR="00F8209F">
        <w:rPr>
          <w:rFonts w:ascii="Calibri" w:eastAsia="Calibri" w:hAnsi="Calibri" w:cs="Times New Roman"/>
          <w:b/>
          <w:sz w:val="24"/>
          <w:szCs w:val="24"/>
          <w:lang w:val="fr-FR"/>
        </w:rPr>
        <w:t>Comité directeur de l’</w:t>
      </w:r>
      <w:r w:rsidR="001B3A71" w:rsidRPr="00BB4B1A">
        <w:rPr>
          <w:rFonts w:ascii="Calibri" w:eastAsia="Calibri" w:hAnsi="Calibri" w:cs="Times New Roman"/>
          <w:b/>
          <w:sz w:val="24"/>
          <w:szCs w:val="24"/>
          <w:lang w:val="fr-FR"/>
        </w:rPr>
        <w:t xml:space="preserve">IHP+ </w:t>
      </w:r>
      <w:r w:rsidR="00F8209F">
        <w:rPr>
          <w:rFonts w:ascii="Calibri" w:eastAsia="Calibri" w:hAnsi="Calibri" w:cs="Times New Roman"/>
          <w:b/>
          <w:sz w:val="24"/>
          <w:szCs w:val="24"/>
          <w:lang w:val="fr-FR"/>
        </w:rPr>
        <w:t>et autres organes de l’IHP+</w:t>
      </w:r>
    </w:p>
    <w:p w14:paraId="7EACBBBC" w14:textId="77777777" w:rsidR="00956FB4" w:rsidRPr="00BB4B1A" w:rsidRDefault="00F8209F" w:rsidP="00956FB4">
      <w:pPr>
        <w:shd w:val="clear" w:color="auto" w:fill="FFFFFF" w:themeFill="background1"/>
        <w:spacing w:after="0"/>
        <w:ind w:left="360"/>
        <w:rPr>
          <w:rFonts w:ascii="Calibri" w:eastAsia="Calibri" w:hAnsi="Calibri" w:cs="Times New Roman"/>
          <w:lang w:val="fr-FR"/>
        </w:rPr>
      </w:pPr>
      <w:r>
        <w:rPr>
          <w:rFonts w:ascii="Calibri" w:eastAsia="Calibri" w:hAnsi="Calibri" w:cs="Times New Roman"/>
          <w:lang w:val="fr-FR"/>
        </w:rPr>
        <w:t>E</w:t>
      </w:r>
      <w:r w:rsidR="00956FB4" w:rsidRPr="00BB4B1A">
        <w:rPr>
          <w:rFonts w:ascii="Calibri" w:eastAsia="Calibri" w:hAnsi="Calibri" w:cs="Times New Roman"/>
          <w:lang w:val="fr-FR"/>
        </w:rPr>
        <w:t>n 2014</w:t>
      </w:r>
      <w:r>
        <w:rPr>
          <w:rFonts w:ascii="Calibri" w:eastAsia="Calibri" w:hAnsi="Calibri" w:cs="Times New Roman"/>
          <w:lang w:val="fr-FR"/>
        </w:rPr>
        <w:t xml:space="preserve">, l’IHP+ introduit quelques changements dans ses dispositions de supervision et d’opérations. Ces changements sont résumés dans l’encadré 1. </w:t>
      </w:r>
      <w:r w:rsidR="002C449E">
        <w:rPr>
          <w:rFonts w:ascii="Calibri" w:eastAsia="Calibri" w:hAnsi="Calibri" w:cs="Times New Roman"/>
          <w:lang w:val="fr-FR"/>
        </w:rPr>
        <w:t>L</w:t>
      </w:r>
      <w:r>
        <w:rPr>
          <w:rFonts w:ascii="Calibri" w:eastAsia="Calibri" w:hAnsi="Calibri" w:cs="Times New Roman"/>
          <w:lang w:val="fr-FR"/>
        </w:rPr>
        <w:t>es mandats détaillés figurent sur le site Internet de l’IHP+</w:t>
      </w:r>
      <w:r w:rsidR="00956FB4" w:rsidRPr="00BB4B1A">
        <w:rPr>
          <w:rFonts w:ascii="Calibri" w:eastAsia="Calibri" w:hAnsi="Calibri" w:cs="Times New Roman"/>
          <w:lang w:val="fr-FR"/>
        </w:rPr>
        <w:t xml:space="preserve">. </w:t>
      </w:r>
    </w:p>
    <w:p w14:paraId="43AB1A13" w14:textId="77777777" w:rsidR="00956FB4" w:rsidRPr="00BB4B1A" w:rsidRDefault="00956FB4" w:rsidP="0090328A">
      <w:pPr>
        <w:shd w:val="clear" w:color="auto" w:fill="FFFFFF" w:themeFill="background1"/>
        <w:spacing w:after="0"/>
        <w:jc w:val="center"/>
        <w:rPr>
          <w:rFonts w:ascii="Calibri" w:eastAsia="Calibri" w:hAnsi="Calibri" w:cs="Times New Roman"/>
          <w:b/>
          <w:sz w:val="20"/>
          <w:szCs w:val="20"/>
          <w:lang w:val="fr-FR"/>
        </w:rPr>
      </w:pPr>
    </w:p>
    <w:p w14:paraId="161431A2" w14:textId="77777777" w:rsidR="0090328A" w:rsidRPr="00BB4B1A" w:rsidRDefault="00F8209F" w:rsidP="0090328A">
      <w:pPr>
        <w:shd w:val="clear" w:color="auto" w:fill="FFFFFF" w:themeFill="background1"/>
        <w:spacing w:after="0"/>
        <w:jc w:val="center"/>
        <w:rPr>
          <w:rFonts w:ascii="Calibri" w:eastAsia="Calibri" w:hAnsi="Calibri" w:cs="Times New Roman"/>
          <w:b/>
          <w:sz w:val="20"/>
          <w:szCs w:val="20"/>
          <w:lang w:val="fr-FR"/>
        </w:rPr>
      </w:pPr>
      <w:r>
        <w:rPr>
          <w:rFonts w:ascii="Calibri" w:eastAsia="Calibri" w:hAnsi="Calibri" w:cs="Times New Roman"/>
          <w:b/>
          <w:sz w:val="20"/>
          <w:szCs w:val="20"/>
          <w:lang w:val="fr-FR"/>
        </w:rPr>
        <w:t xml:space="preserve">Encadré </w:t>
      </w:r>
      <w:r w:rsidR="00956FB4" w:rsidRPr="00BB4B1A">
        <w:rPr>
          <w:rFonts w:ascii="Calibri" w:eastAsia="Calibri" w:hAnsi="Calibri" w:cs="Times New Roman"/>
          <w:b/>
          <w:sz w:val="20"/>
          <w:szCs w:val="20"/>
          <w:lang w:val="fr-FR"/>
        </w:rPr>
        <w:t>1</w:t>
      </w:r>
      <w:r w:rsidR="002C449E">
        <w:rPr>
          <w:rFonts w:ascii="Calibri" w:eastAsia="Calibri" w:hAnsi="Calibri" w:cs="Times New Roman"/>
          <w:b/>
          <w:sz w:val="20"/>
          <w:szCs w:val="20"/>
          <w:lang w:val="fr-FR"/>
        </w:rPr>
        <w:t>.</w:t>
      </w:r>
      <w:r w:rsidR="00956FB4" w:rsidRPr="00BB4B1A">
        <w:rPr>
          <w:rFonts w:ascii="Calibri" w:eastAsia="Calibri" w:hAnsi="Calibri" w:cs="Times New Roman"/>
          <w:b/>
          <w:sz w:val="20"/>
          <w:szCs w:val="20"/>
          <w:lang w:val="fr-FR"/>
        </w:rPr>
        <w:t xml:space="preserve"> </w:t>
      </w:r>
      <w:r>
        <w:rPr>
          <w:rFonts w:ascii="Calibri" w:eastAsia="Calibri" w:hAnsi="Calibri" w:cs="Times New Roman"/>
          <w:b/>
          <w:sz w:val="20"/>
          <w:szCs w:val="20"/>
          <w:lang w:val="fr-FR"/>
        </w:rPr>
        <w:t>Aperçu des dispositifs de supervision et d</w:t>
      </w:r>
      <w:r w:rsidR="002C449E">
        <w:rPr>
          <w:rFonts w:ascii="Calibri" w:eastAsia="Calibri" w:hAnsi="Calibri" w:cs="Times New Roman"/>
          <w:b/>
          <w:sz w:val="20"/>
          <w:szCs w:val="20"/>
          <w:lang w:val="fr-FR"/>
        </w:rPr>
        <w:t>e fonctionnement</w:t>
      </w:r>
      <w:r>
        <w:rPr>
          <w:rFonts w:ascii="Calibri" w:eastAsia="Calibri" w:hAnsi="Calibri" w:cs="Times New Roman"/>
          <w:b/>
          <w:sz w:val="20"/>
          <w:szCs w:val="20"/>
          <w:lang w:val="fr-FR"/>
        </w:rPr>
        <w:t xml:space="preserve"> de l’IHP+</w:t>
      </w:r>
    </w:p>
    <w:p w14:paraId="1FC0C874" w14:textId="77777777" w:rsidR="0090328A" w:rsidRPr="00BB4B1A" w:rsidRDefault="00033102" w:rsidP="00710833">
      <w:pPr>
        <w:shd w:val="clear" w:color="auto" w:fill="F2F2F2" w:themeFill="background1" w:themeFillShade="F2"/>
        <w:spacing w:before="60" w:after="0"/>
        <w:rPr>
          <w:rFonts w:ascii="Calibri" w:eastAsia="Calibri" w:hAnsi="Calibri" w:cs="Times New Roman"/>
          <w:sz w:val="18"/>
          <w:szCs w:val="18"/>
          <w:lang w:val="fr-FR"/>
        </w:rPr>
      </w:pPr>
      <w:r w:rsidRPr="00033102">
        <w:rPr>
          <w:rFonts w:ascii="Calibri" w:eastAsia="Calibri" w:hAnsi="Calibri" w:cs="Times New Roman"/>
          <w:sz w:val="18"/>
          <w:szCs w:val="18"/>
          <w:lang w:val="fr-FR"/>
        </w:rPr>
        <w:t xml:space="preserve">Le </w:t>
      </w:r>
      <w:r w:rsidRPr="00033102">
        <w:rPr>
          <w:rFonts w:ascii="Calibri" w:eastAsia="Calibri" w:hAnsi="Calibri" w:cs="Times New Roman"/>
          <w:b/>
          <w:sz w:val="18"/>
          <w:szCs w:val="18"/>
          <w:lang w:val="fr-FR"/>
        </w:rPr>
        <w:t xml:space="preserve">Comité directeur de l’IHP+ </w:t>
      </w:r>
      <w:r w:rsidRPr="00033102">
        <w:rPr>
          <w:rFonts w:ascii="Calibri" w:eastAsia="Calibri" w:hAnsi="Calibri" w:cs="Times New Roman"/>
          <w:sz w:val="18"/>
          <w:szCs w:val="18"/>
          <w:lang w:val="fr-FR"/>
        </w:rPr>
        <w:t xml:space="preserve">est chargé de définir les orientations stratégiques globales de l’IHP+ et de superviser son travail. Il avalise le plan de travail et le budget du Partenariat. Il approuve les groupes de travail de l’IHP+, examine leurs recommandations et convient des mesures à prendre. </w:t>
      </w:r>
      <w:r>
        <w:rPr>
          <w:rFonts w:ascii="Calibri" w:eastAsia="Calibri" w:hAnsi="Calibri" w:cs="Times New Roman"/>
          <w:sz w:val="18"/>
          <w:szCs w:val="18"/>
          <w:lang w:val="fr-FR"/>
        </w:rPr>
        <w:t xml:space="preserve">Il </w:t>
      </w:r>
      <w:r w:rsidRPr="00033102">
        <w:rPr>
          <w:rFonts w:ascii="Calibri" w:eastAsia="Calibri" w:hAnsi="Calibri" w:cs="Times New Roman"/>
          <w:sz w:val="18"/>
          <w:szCs w:val="18"/>
          <w:lang w:val="fr-FR"/>
        </w:rPr>
        <w:t>compte 16 membres</w:t>
      </w:r>
      <w:r>
        <w:rPr>
          <w:rFonts w:ascii="Calibri" w:eastAsia="Calibri" w:hAnsi="Calibri" w:cs="Times New Roman"/>
          <w:sz w:val="18"/>
          <w:szCs w:val="18"/>
          <w:lang w:val="fr-FR"/>
        </w:rPr>
        <w:t> :</w:t>
      </w:r>
      <w:r w:rsidRPr="00033102">
        <w:rPr>
          <w:rFonts w:ascii="Calibri" w:eastAsia="Calibri" w:hAnsi="Calibri" w:cs="Times New Roman"/>
          <w:sz w:val="18"/>
          <w:szCs w:val="18"/>
          <w:lang w:val="fr-FR"/>
        </w:rPr>
        <w:t xml:space="preserve"> six pays, quatre organismes multilatéraux, quatre organismes bilatéraux et deux OSC</w:t>
      </w:r>
      <w:r w:rsidR="0090328A" w:rsidRPr="00033102">
        <w:rPr>
          <w:rFonts w:ascii="Calibri" w:eastAsia="Calibri" w:hAnsi="Calibri" w:cs="Times New Roman"/>
          <w:sz w:val="18"/>
          <w:szCs w:val="18"/>
          <w:lang w:val="fr-FR"/>
        </w:rPr>
        <w:t>.</w:t>
      </w:r>
      <w:r w:rsidR="0090328A" w:rsidRPr="00BB4B1A">
        <w:rPr>
          <w:rFonts w:ascii="Calibri" w:eastAsia="Calibri" w:hAnsi="Calibri" w:cs="Times New Roman"/>
          <w:sz w:val="18"/>
          <w:szCs w:val="18"/>
          <w:lang w:val="fr-FR"/>
        </w:rPr>
        <w:t xml:space="preserve"> </w:t>
      </w:r>
      <w:r w:rsidRPr="00033102">
        <w:rPr>
          <w:rFonts w:ascii="Calibri" w:eastAsia="Calibri" w:hAnsi="Calibri" w:cs="Times New Roman"/>
          <w:sz w:val="18"/>
          <w:szCs w:val="18"/>
          <w:lang w:val="fr-FR"/>
        </w:rPr>
        <w:t>Il se réunit deux fois par an</w:t>
      </w:r>
      <w:r>
        <w:rPr>
          <w:rFonts w:ascii="Calibri" w:eastAsia="Calibri" w:hAnsi="Calibri" w:cs="Times New Roman"/>
          <w:sz w:val="18"/>
          <w:szCs w:val="18"/>
          <w:lang w:val="fr-FR"/>
        </w:rPr>
        <w:t>.</w:t>
      </w:r>
    </w:p>
    <w:p w14:paraId="41D6D13F" w14:textId="77777777" w:rsidR="0090328A" w:rsidRPr="00033102" w:rsidRDefault="00033102" w:rsidP="00710833">
      <w:pPr>
        <w:shd w:val="clear" w:color="auto" w:fill="F2F2F2" w:themeFill="background1" w:themeFillShade="F2"/>
        <w:spacing w:before="60" w:after="0"/>
        <w:rPr>
          <w:rFonts w:ascii="Calibri" w:eastAsia="Calibri" w:hAnsi="Calibri" w:cs="Times New Roman"/>
          <w:sz w:val="18"/>
          <w:szCs w:val="18"/>
          <w:lang w:val="fr-FR"/>
        </w:rPr>
      </w:pPr>
      <w:r w:rsidRPr="00033102">
        <w:rPr>
          <w:rFonts w:ascii="Calibri" w:eastAsia="Calibri" w:hAnsi="Calibri" w:cs="Times New Roman"/>
          <w:sz w:val="18"/>
          <w:szCs w:val="18"/>
          <w:lang w:val="fr-FR"/>
        </w:rPr>
        <w:t xml:space="preserve">La </w:t>
      </w:r>
      <w:r>
        <w:rPr>
          <w:rFonts w:ascii="Calibri" w:eastAsia="Calibri" w:hAnsi="Calibri" w:cs="Times New Roman"/>
          <w:b/>
          <w:sz w:val="18"/>
          <w:szCs w:val="18"/>
          <w:lang w:val="fr-FR"/>
        </w:rPr>
        <w:t>r</w:t>
      </w:r>
      <w:r w:rsidRPr="00033102">
        <w:rPr>
          <w:rFonts w:ascii="Calibri" w:eastAsia="Calibri" w:hAnsi="Calibri" w:cs="Times New Roman"/>
          <w:b/>
          <w:sz w:val="18"/>
          <w:szCs w:val="18"/>
          <w:lang w:val="fr-FR"/>
        </w:rPr>
        <w:t xml:space="preserve">éunion des équipes nationales de santé </w:t>
      </w:r>
      <w:r w:rsidRPr="00033102">
        <w:rPr>
          <w:rFonts w:ascii="Calibri" w:eastAsia="Calibri" w:hAnsi="Calibri" w:cs="Times New Roman"/>
          <w:sz w:val="18"/>
          <w:szCs w:val="18"/>
          <w:lang w:val="fr-FR"/>
        </w:rPr>
        <w:t xml:space="preserve">regroupe tous les signataires de l’IHP+ au moins une fois tous les deux ans. </w:t>
      </w:r>
      <w:r>
        <w:rPr>
          <w:rFonts w:ascii="Calibri" w:eastAsia="Calibri" w:hAnsi="Calibri" w:cs="Times New Roman"/>
          <w:sz w:val="18"/>
          <w:szCs w:val="18"/>
          <w:lang w:val="fr-FR"/>
        </w:rPr>
        <w:t xml:space="preserve">Elle </w:t>
      </w:r>
      <w:r w:rsidRPr="00033102">
        <w:rPr>
          <w:rFonts w:ascii="Calibri" w:eastAsia="Calibri" w:hAnsi="Calibri" w:cs="Times New Roman"/>
          <w:sz w:val="18"/>
          <w:szCs w:val="18"/>
          <w:lang w:val="fr-FR"/>
        </w:rPr>
        <w:t>examine les progrès accomplis pour améliorer l’efficacité du développement en matière de santé</w:t>
      </w:r>
      <w:r>
        <w:rPr>
          <w:rFonts w:ascii="Calibri" w:eastAsia="Calibri" w:hAnsi="Calibri" w:cs="Times New Roman"/>
          <w:sz w:val="18"/>
          <w:szCs w:val="18"/>
          <w:lang w:val="fr-FR"/>
        </w:rPr>
        <w:t xml:space="preserve"> et sert de forum pour mettre en commun les leçons tirées de l’expérience et débattre de nouvelles questions.</w:t>
      </w:r>
    </w:p>
    <w:p w14:paraId="6926462F" w14:textId="77777777" w:rsidR="00033102" w:rsidRPr="00033102" w:rsidRDefault="00033102" w:rsidP="00033102">
      <w:pPr>
        <w:shd w:val="clear" w:color="auto" w:fill="F2F2F2" w:themeFill="background1" w:themeFillShade="F2"/>
        <w:spacing w:before="60" w:after="0"/>
        <w:rPr>
          <w:rFonts w:ascii="Calibri" w:eastAsia="Calibri" w:hAnsi="Calibri" w:cs="Times New Roman"/>
          <w:sz w:val="18"/>
          <w:szCs w:val="18"/>
          <w:lang w:val="fr-FR"/>
        </w:rPr>
      </w:pPr>
      <w:r w:rsidRPr="00033102">
        <w:rPr>
          <w:rFonts w:ascii="Calibri" w:eastAsia="Calibri" w:hAnsi="Calibri" w:cs="Times New Roman"/>
          <w:sz w:val="18"/>
          <w:szCs w:val="18"/>
          <w:lang w:val="fr-FR"/>
        </w:rPr>
        <w:t>Le</w:t>
      </w:r>
      <w:r w:rsidRPr="00033102">
        <w:rPr>
          <w:rFonts w:ascii="Calibri" w:eastAsia="Calibri" w:hAnsi="Calibri" w:cs="Times New Roman"/>
          <w:b/>
          <w:sz w:val="18"/>
          <w:szCs w:val="18"/>
          <w:lang w:val="fr-FR"/>
        </w:rPr>
        <w:t xml:space="preserve"> Groupe de référence de l’IHP+ </w:t>
      </w:r>
      <w:r w:rsidRPr="00033102">
        <w:rPr>
          <w:rFonts w:ascii="Calibri" w:eastAsia="Calibri" w:hAnsi="Calibri" w:cs="Times New Roman"/>
          <w:sz w:val="18"/>
          <w:szCs w:val="18"/>
          <w:lang w:val="fr-FR"/>
        </w:rPr>
        <w:t>aide l’Équipe de base de l’IHP+ à mettre en œuvre le plan de travail du Partenariat. Il sert de tribune pour la collaboration et l’échange d’informations. Il est composé de membres hauts placés du personnel technique des institutions siégeant au Comité directeur</w:t>
      </w:r>
      <w:r>
        <w:rPr>
          <w:rFonts w:ascii="Calibri" w:eastAsia="Calibri" w:hAnsi="Calibri" w:cs="Times New Roman"/>
          <w:sz w:val="18"/>
          <w:szCs w:val="18"/>
          <w:lang w:val="fr-FR"/>
        </w:rPr>
        <w:t>, avec l</w:t>
      </w:r>
      <w:r w:rsidR="002C449E">
        <w:rPr>
          <w:rFonts w:ascii="Calibri" w:eastAsia="Calibri" w:hAnsi="Calibri" w:cs="Times New Roman"/>
          <w:sz w:val="18"/>
          <w:szCs w:val="18"/>
          <w:lang w:val="fr-FR"/>
        </w:rPr>
        <w:t xml:space="preserve">a possibilité d’inclure </w:t>
      </w:r>
      <w:r>
        <w:rPr>
          <w:rFonts w:ascii="Calibri" w:eastAsia="Calibri" w:hAnsi="Calibri" w:cs="Times New Roman"/>
          <w:sz w:val="18"/>
          <w:szCs w:val="18"/>
          <w:lang w:val="fr-FR"/>
        </w:rPr>
        <w:t xml:space="preserve">d’autres </w:t>
      </w:r>
      <w:r w:rsidR="002C449E">
        <w:rPr>
          <w:rFonts w:ascii="Calibri" w:eastAsia="Calibri" w:hAnsi="Calibri" w:cs="Times New Roman"/>
          <w:sz w:val="18"/>
          <w:szCs w:val="18"/>
          <w:lang w:val="fr-FR"/>
        </w:rPr>
        <w:t xml:space="preserve">participants, </w:t>
      </w:r>
      <w:r>
        <w:rPr>
          <w:rFonts w:ascii="Calibri" w:eastAsia="Calibri" w:hAnsi="Calibri" w:cs="Times New Roman"/>
          <w:sz w:val="18"/>
          <w:szCs w:val="18"/>
          <w:lang w:val="fr-FR"/>
        </w:rPr>
        <w:t>le cas échéant.</w:t>
      </w:r>
      <w:r w:rsidRPr="00033102">
        <w:rPr>
          <w:rFonts w:ascii="Calibri" w:eastAsia="Calibri" w:hAnsi="Calibri" w:cs="Times New Roman"/>
          <w:sz w:val="18"/>
          <w:szCs w:val="18"/>
          <w:lang w:val="fr-FR"/>
        </w:rPr>
        <w:t xml:space="preserve"> Des téléconférences se tiennent tous les deux mois. </w:t>
      </w:r>
    </w:p>
    <w:p w14:paraId="7C5F7347" w14:textId="77777777" w:rsidR="0090328A" w:rsidRPr="00BB4B1A" w:rsidRDefault="00033102" w:rsidP="00710833">
      <w:pPr>
        <w:shd w:val="clear" w:color="auto" w:fill="F2F2F2" w:themeFill="background1" w:themeFillShade="F2"/>
        <w:spacing w:before="60" w:after="0"/>
        <w:rPr>
          <w:rFonts w:ascii="Calibri" w:eastAsia="Calibri" w:hAnsi="Calibri" w:cs="Times New Roman"/>
          <w:sz w:val="18"/>
          <w:szCs w:val="18"/>
          <w:lang w:val="fr-FR"/>
        </w:rPr>
      </w:pPr>
      <w:r w:rsidRPr="00033102">
        <w:rPr>
          <w:rFonts w:ascii="Calibri" w:eastAsia="Calibri" w:hAnsi="Calibri" w:cs="Times New Roman"/>
          <w:sz w:val="18"/>
          <w:szCs w:val="18"/>
          <w:lang w:val="fr-FR"/>
        </w:rPr>
        <w:t>Les</w:t>
      </w:r>
      <w:r w:rsidR="002C449E">
        <w:rPr>
          <w:rFonts w:ascii="Calibri" w:eastAsia="Calibri" w:hAnsi="Calibri" w:cs="Times New Roman"/>
          <w:b/>
          <w:sz w:val="18"/>
          <w:szCs w:val="18"/>
          <w:lang w:val="fr-FR"/>
        </w:rPr>
        <w:t xml:space="preserve"> g</w:t>
      </w:r>
      <w:r w:rsidRPr="00033102">
        <w:rPr>
          <w:rFonts w:ascii="Calibri" w:eastAsia="Calibri" w:hAnsi="Calibri" w:cs="Times New Roman"/>
          <w:b/>
          <w:sz w:val="18"/>
          <w:szCs w:val="18"/>
          <w:lang w:val="fr-FR"/>
        </w:rPr>
        <w:t xml:space="preserve">roupes de travail de l’IHP+ </w:t>
      </w:r>
      <w:r w:rsidRPr="00033102">
        <w:rPr>
          <w:rFonts w:ascii="Calibri" w:eastAsia="Calibri" w:hAnsi="Calibri" w:cs="Times New Roman"/>
          <w:sz w:val="18"/>
          <w:szCs w:val="18"/>
          <w:lang w:val="fr-FR"/>
        </w:rPr>
        <w:t>sont constitués pour une durée limitée et sont formés d’experts techniques, choisis parmi les pays, les institutions et les OSC. Les groupes formulent des conseils collectifs et/ou des recommandations sur des thèmes spécifiques relatifs à l’efficacité du développement dans la santé. Les groupes</w:t>
      </w:r>
      <w:r>
        <w:rPr>
          <w:rFonts w:ascii="Calibri" w:eastAsia="Calibri" w:hAnsi="Calibri" w:cs="Times New Roman"/>
          <w:sz w:val="18"/>
          <w:szCs w:val="18"/>
          <w:lang w:val="fr-FR"/>
        </w:rPr>
        <w:t xml:space="preserve"> rendent compte</w:t>
      </w:r>
      <w:r w:rsidR="00C90212">
        <w:rPr>
          <w:rFonts w:ascii="Calibri" w:eastAsia="Calibri" w:hAnsi="Calibri" w:cs="Times New Roman"/>
          <w:sz w:val="18"/>
          <w:szCs w:val="18"/>
          <w:lang w:val="fr-FR"/>
        </w:rPr>
        <w:t xml:space="preserve"> de leurs travaux</w:t>
      </w:r>
      <w:r>
        <w:rPr>
          <w:rFonts w:ascii="Calibri" w:eastAsia="Calibri" w:hAnsi="Calibri" w:cs="Times New Roman"/>
          <w:sz w:val="18"/>
          <w:szCs w:val="18"/>
          <w:lang w:val="fr-FR"/>
        </w:rPr>
        <w:t xml:space="preserve"> au Comité directeur.</w:t>
      </w:r>
      <w:r w:rsidR="0090328A" w:rsidRPr="00BB4B1A">
        <w:rPr>
          <w:rFonts w:ascii="Calibri" w:eastAsia="Calibri" w:hAnsi="Calibri" w:cs="Times New Roman"/>
          <w:sz w:val="18"/>
          <w:szCs w:val="18"/>
          <w:lang w:val="fr-FR"/>
        </w:rPr>
        <w:t xml:space="preserve"> </w:t>
      </w:r>
    </w:p>
    <w:p w14:paraId="74D674CF" w14:textId="77777777" w:rsidR="0090328A" w:rsidRPr="00033102" w:rsidRDefault="00033102" w:rsidP="00710833">
      <w:pPr>
        <w:shd w:val="clear" w:color="auto" w:fill="F2F2F2" w:themeFill="background1" w:themeFillShade="F2"/>
        <w:spacing w:before="60" w:after="0"/>
        <w:rPr>
          <w:rFonts w:ascii="Calibri" w:eastAsia="Calibri" w:hAnsi="Calibri" w:cs="Times New Roman"/>
          <w:sz w:val="18"/>
          <w:szCs w:val="18"/>
          <w:lang w:val="fr-FR"/>
        </w:rPr>
      </w:pPr>
      <w:r w:rsidRPr="00033102">
        <w:rPr>
          <w:rFonts w:ascii="Calibri" w:eastAsia="Calibri" w:hAnsi="Calibri" w:cs="Times New Roman"/>
          <w:sz w:val="18"/>
          <w:szCs w:val="18"/>
          <w:lang w:val="fr-FR"/>
        </w:rPr>
        <w:t>L’</w:t>
      </w:r>
      <w:r w:rsidRPr="00033102">
        <w:rPr>
          <w:rFonts w:ascii="Calibri" w:eastAsia="Calibri" w:hAnsi="Calibri" w:cs="Times New Roman"/>
          <w:b/>
          <w:sz w:val="18"/>
          <w:szCs w:val="18"/>
          <w:lang w:val="fr-FR"/>
        </w:rPr>
        <w:t xml:space="preserve">Équipe de base de l’IHP+ </w:t>
      </w:r>
      <w:r w:rsidRPr="00033102">
        <w:rPr>
          <w:rFonts w:ascii="Calibri" w:eastAsia="Calibri" w:hAnsi="Calibri" w:cs="Times New Roman"/>
          <w:sz w:val="18"/>
          <w:szCs w:val="18"/>
          <w:lang w:val="fr-FR"/>
        </w:rPr>
        <w:t xml:space="preserve">est accueillie conjointement dans les bureaux de l’OMS et de la Banque mondiale. Elle gère le plan de travail, le budget et les communications de l’IHP+, sous la supervision du Comité directeur. Elle met en œuvre les décisions du Comité directeur, organise les réunions du Comité directeur, du Groupe de référence et des équipes nationales de santé, tout en facilitant les séances des groupes de travail. </w:t>
      </w:r>
    </w:p>
    <w:p w14:paraId="624C1984" w14:textId="77777777" w:rsidR="0090328A" w:rsidRPr="00BB4B1A" w:rsidRDefault="0090328A" w:rsidP="0090328A">
      <w:pPr>
        <w:shd w:val="clear" w:color="auto" w:fill="FFFFFF" w:themeFill="background1"/>
        <w:spacing w:after="0"/>
        <w:rPr>
          <w:b/>
          <w:lang w:val="fr-FR"/>
        </w:rPr>
      </w:pPr>
    </w:p>
    <w:p w14:paraId="1C7BC196" w14:textId="77777777" w:rsidR="00241E59" w:rsidRPr="00BB4B1A" w:rsidRDefault="00F8209F" w:rsidP="00907652">
      <w:pPr>
        <w:shd w:val="clear" w:color="auto" w:fill="FFFFFF" w:themeFill="background1"/>
        <w:spacing w:after="0"/>
        <w:ind w:firstLine="360"/>
        <w:rPr>
          <w:rFonts w:ascii="Calibri" w:eastAsia="Calibri" w:hAnsi="Calibri" w:cs="Times New Roman"/>
          <w:lang w:val="fr-FR"/>
        </w:rPr>
      </w:pPr>
      <w:r>
        <w:rPr>
          <w:rFonts w:ascii="Calibri" w:eastAsia="Calibri" w:hAnsi="Calibri" w:cs="Times New Roman"/>
          <w:lang w:val="fr-FR"/>
        </w:rPr>
        <w:t>Points complémentaires</w:t>
      </w:r>
      <w:r w:rsidR="00956FB4" w:rsidRPr="00BB4B1A">
        <w:rPr>
          <w:rFonts w:ascii="Calibri" w:eastAsia="Calibri" w:hAnsi="Calibri" w:cs="Times New Roman"/>
          <w:lang w:val="fr-FR"/>
        </w:rPr>
        <w:t xml:space="preserve"> </w:t>
      </w:r>
    </w:p>
    <w:p w14:paraId="52BE48CB" w14:textId="77777777" w:rsidR="0034196A" w:rsidRPr="00BB4B1A" w:rsidRDefault="00F8209F" w:rsidP="0034196A">
      <w:pPr>
        <w:pStyle w:val="ListParagraph"/>
        <w:numPr>
          <w:ilvl w:val="0"/>
          <w:numId w:val="16"/>
        </w:numPr>
        <w:shd w:val="clear" w:color="auto" w:fill="FFFFFF" w:themeFill="background1"/>
        <w:spacing w:after="0"/>
        <w:rPr>
          <w:b/>
          <w:lang w:val="fr-FR"/>
        </w:rPr>
      </w:pPr>
      <w:r>
        <w:rPr>
          <w:b/>
          <w:lang w:val="fr-FR"/>
        </w:rPr>
        <w:t xml:space="preserve">Comité directeur. </w:t>
      </w:r>
      <w:r>
        <w:rPr>
          <w:lang w:val="fr-FR"/>
        </w:rPr>
        <w:t xml:space="preserve">La </w:t>
      </w:r>
      <w:r w:rsidR="0034196A" w:rsidRPr="00BB4B1A">
        <w:rPr>
          <w:lang w:val="fr-FR"/>
        </w:rPr>
        <w:t xml:space="preserve">question </w:t>
      </w:r>
      <w:r>
        <w:rPr>
          <w:lang w:val="fr-FR"/>
        </w:rPr>
        <w:t>d’inclure le secteur privé dans la composition du Comité directeur a été soulevée. Cette préoccupation sera inscrite à l’ordre du jour d’une future réunion du Comité directeur. Une autre question que le Comité directeur devra aborder est le rôle de l’IHP+ pour encourager une participation efficace du secteur privé au développement de la santé</w:t>
      </w:r>
      <w:r w:rsidR="00907652" w:rsidRPr="00BB4B1A">
        <w:rPr>
          <w:lang w:val="fr-FR"/>
        </w:rPr>
        <w:t>.</w:t>
      </w:r>
      <w:r w:rsidR="0034196A" w:rsidRPr="00BB4B1A">
        <w:rPr>
          <w:lang w:val="fr-FR"/>
        </w:rPr>
        <w:t xml:space="preserve">    </w:t>
      </w:r>
    </w:p>
    <w:p w14:paraId="68FB8184" w14:textId="77777777" w:rsidR="00907652" w:rsidRPr="00BB4B1A" w:rsidRDefault="00F8209F" w:rsidP="00825CB9">
      <w:pPr>
        <w:pStyle w:val="ListParagraph"/>
        <w:numPr>
          <w:ilvl w:val="0"/>
          <w:numId w:val="16"/>
        </w:numPr>
        <w:shd w:val="clear" w:color="auto" w:fill="FFFFFF" w:themeFill="background1"/>
        <w:spacing w:after="0"/>
        <w:rPr>
          <w:b/>
          <w:lang w:val="fr-FR"/>
        </w:rPr>
      </w:pPr>
      <w:r>
        <w:rPr>
          <w:b/>
          <w:lang w:val="fr-FR"/>
        </w:rPr>
        <w:lastRenderedPageBreak/>
        <w:t>Groupes de travail.</w:t>
      </w:r>
      <w:r w:rsidR="00BA3A54" w:rsidRPr="00BB4B1A">
        <w:rPr>
          <w:b/>
          <w:lang w:val="fr-FR"/>
        </w:rPr>
        <w:t xml:space="preserve"> </w:t>
      </w:r>
      <w:r>
        <w:rPr>
          <w:lang w:val="fr-FR"/>
        </w:rPr>
        <w:t>Actuellement, le seul groupe de travail actif s’occupe de la redevabilité mutuelle. Il est présidé par</w:t>
      </w:r>
      <w:r w:rsidR="00907652" w:rsidRPr="00BB4B1A">
        <w:rPr>
          <w:lang w:val="fr-FR"/>
        </w:rPr>
        <w:t xml:space="preserve"> Tim Martineau, </w:t>
      </w:r>
      <w:r>
        <w:rPr>
          <w:lang w:val="fr-FR"/>
        </w:rPr>
        <w:t>ONUSIDA</w:t>
      </w:r>
      <w:r w:rsidR="00907652" w:rsidRPr="00BB4B1A">
        <w:rPr>
          <w:lang w:val="fr-FR"/>
        </w:rPr>
        <w:t xml:space="preserve">. </w:t>
      </w:r>
      <w:r w:rsidR="00033102">
        <w:rPr>
          <w:lang w:val="fr-FR"/>
        </w:rPr>
        <w:t>La création d’u</w:t>
      </w:r>
      <w:r>
        <w:rPr>
          <w:lang w:val="fr-FR"/>
        </w:rPr>
        <w:t>n nouveau groupe de travail sur la gestion financière est prévu</w:t>
      </w:r>
      <w:r w:rsidR="00033102">
        <w:rPr>
          <w:lang w:val="fr-FR"/>
        </w:rPr>
        <w:t>e</w:t>
      </w:r>
      <w:r>
        <w:rPr>
          <w:lang w:val="fr-FR"/>
        </w:rPr>
        <w:t>.</w:t>
      </w:r>
    </w:p>
    <w:p w14:paraId="13A482C4" w14:textId="77777777" w:rsidR="00825CB9" w:rsidRPr="00BB4B1A" w:rsidRDefault="00F8209F" w:rsidP="00825CB9">
      <w:pPr>
        <w:pStyle w:val="ListParagraph"/>
        <w:numPr>
          <w:ilvl w:val="0"/>
          <w:numId w:val="16"/>
        </w:numPr>
        <w:shd w:val="clear" w:color="auto" w:fill="FFFFFF" w:themeFill="background1"/>
        <w:spacing w:after="0"/>
        <w:rPr>
          <w:b/>
          <w:lang w:val="fr-FR"/>
        </w:rPr>
      </w:pPr>
      <w:r>
        <w:rPr>
          <w:b/>
          <w:lang w:val="fr-FR"/>
        </w:rPr>
        <w:t>Groupe consultatif des OSC.</w:t>
      </w:r>
      <w:r w:rsidR="0034196A" w:rsidRPr="00BB4B1A">
        <w:rPr>
          <w:b/>
          <w:lang w:val="fr-FR"/>
        </w:rPr>
        <w:t xml:space="preserve"> </w:t>
      </w:r>
      <w:r>
        <w:rPr>
          <w:lang w:val="fr-FR"/>
        </w:rPr>
        <w:t xml:space="preserve">Les représentants de la société civile disposent d’un groupe consultatif pour aborder les questions de l’IHP+ et pour diffuser des messages clés à un public plus large d’OSC. Le groupe consultatif se réunit en </w:t>
      </w:r>
      <w:r w:rsidR="00033102">
        <w:rPr>
          <w:lang w:val="fr-FR"/>
        </w:rPr>
        <w:t>face à face</w:t>
      </w:r>
      <w:r>
        <w:rPr>
          <w:lang w:val="fr-FR"/>
        </w:rPr>
        <w:t xml:space="preserve"> une fois par an. Il examine actuellement les priorités de l’action des OSC pour refléter les orientations stratégiques de l’IHP+ 2014/15.</w:t>
      </w:r>
      <w:r w:rsidR="00710833" w:rsidRPr="00BB4B1A">
        <w:rPr>
          <w:lang w:val="fr-FR"/>
        </w:rPr>
        <w:t xml:space="preserve"> </w:t>
      </w:r>
    </w:p>
    <w:p w14:paraId="29395C91" w14:textId="77777777" w:rsidR="00A20B92" w:rsidRPr="00BB4B1A" w:rsidRDefault="00A20B92" w:rsidP="00F83FC1">
      <w:pPr>
        <w:shd w:val="clear" w:color="auto" w:fill="FFFFFF" w:themeFill="background1"/>
        <w:spacing w:after="0"/>
        <w:rPr>
          <w:b/>
          <w:sz w:val="24"/>
          <w:szCs w:val="24"/>
          <w:lang w:val="fr-FR"/>
        </w:rPr>
      </w:pPr>
    </w:p>
    <w:p w14:paraId="18A0E578" w14:textId="77777777" w:rsidR="00710833" w:rsidRPr="00BB4B1A" w:rsidRDefault="00430E96" w:rsidP="00642109">
      <w:pPr>
        <w:shd w:val="clear" w:color="auto" w:fill="FFFFFF" w:themeFill="background1"/>
        <w:spacing w:after="0"/>
        <w:ind w:left="360"/>
        <w:rPr>
          <w:b/>
          <w:sz w:val="24"/>
          <w:szCs w:val="24"/>
          <w:lang w:val="fr-FR"/>
        </w:rPr>
      </w:pPr>
      <w:r w:rsidRPr="00BB4B1A">
        <w:rPr>
          <w:b/>
          <w:sz w:val="24"/>
          <w:szCs w:val="24"/>
          <w:lang w:val="fr-FR"/>
        </w:rPr>
        <w:t xml:space="preserve">D.2 </w:t>
      </w:r>
      <w:r w:rsidR="00F8209F">
        <w:rPr>
          <w:b/>
          <w:sz w:val="24"/>
          <w:szCs w:val="24"/>
          <w:lang w:val="fr-FR"/>
        </w:rPr>
        <w:t xml:space="preserve">Plaidoyer et </w:t>
      </w:r>
      <w:r w:rsidR="00241E59" w:rsidRPr="00BB4B1A">
        <w:rPr>
          <w:b/>
          <w:sz w:val="24"/>
          <w:szCs w:val="24"/>
          <w:lang w:val="fr-FR"/>
        </w:rPr>
        <w:t>communications</w:t>
      </w:r>
      <w:r w:rsidR="00710833" w:rsidRPr="00BB4B1A">
        <w:rPr>
          <w:b/>
          <w:sz w:val="24"/>
          <w:szCs w:val="24"/>
          <w:lang w:val="fr-FR"/>
        </w:rPr>
        <w:t xml:space="preserve"> </w:t>
      </w:r>
    </w:p>
    <w:p w14:paraId="6F8FE84F" w14:textId="77777777" w:rsidR="00642109" w:rsidRPr="00BB4B1A" w:rsidRDefault="002205F7">
      <w:pPr>
        <w:shd w:val="clear" w:color="auto" w:fill="FFFFFF" w:themeFill="background1"/>
        <w:spacing w:after="0"/>
        <w:ind w:left="360"/>
        <w:rPr>
          <w:lang w:val="fr-FR"/>
        </w:rPr>
      </w:pPr>
      <w:r>
        <w:rPr>
          <w:lang w:val="fr-FR"/>
        </w:rPr>
        <w:t xml:space="preserve">Les mesures </w:t>
      </w:r>
      <w:r w:rsidR="00C90212">
        <w:rPr>
          <w:lang w:val="fr-FR"/>
        </w:rPr>
        <w:t xml:space="preserve">prises </w:t>
      </w:r>
      <w:r>
        <w:rPr>
          <w:lang w:val="fr-FR"/>
        </w:rPr>
        <w:t xml:space="preserve">pour maintenir et améliorer les communications </w:t>
      </w:r>
      <w:r w:rsidR="00033102">
        <w:rPr>
          <w:lang w:val="fr-FR"/>
        </w:rPr>
        <w:t>sont les suivantes</w:t>
      </w:r>
      <w:r>
        <w:rPr>
          <w:lang w:val="fr-FR"/>
        </w:rPr>
        <w:t> : identifier des champions ; convenir de l’actualisation d’un ensemble de messages clés pour différents secteurs et champions de l’IHP+ ; entreten</w:t>
      </w:r>
      <w:r w:rsidR="00033102">
        <w:rPr>
          <w:lang w:val="fr-FR"/>
        </w:rPr>
        <w:t>ir</w:t>
      </w:r>
      <w:r>
        <w:rPr>
          <w:lang w:val="fr-FR"/>
        </w:rPr>
        <w:t xml:space="preserve"> </w:t>
      </w:r>
      <w:r w:rsidR="00033102">
        <w:rPr>
          <w:lang w:val="fr-FR"/>
        </w:rPr>
        <w:t xml:space="preserve">le </w:t>
      </w:r>
      <w:r>
        <w:rPr>
          <w:lang w:val="fr-FR"/>
        </w:rPr>
        <w:t xml:space="preserve">site Internet de l’IHP+ ; </w:t>
      </w:r>
      <w:r w:rsidR="00033102">
        <w:rPr>
          <w:lang w:val="fr-FR"/>
        </w:rPr>
        <w:t xml:space="preserve">publier le </w:t>
      </w:r>
      <w:r>
        <w:rPr>
          <w:lang w:val="fr-FR"/>
        </w:rPr>
        <w:t xml:space="preserve">bulletin d’information trimestriel ; </w:t>
      </w:r>
      <w:r w:rsidR="00033102">
        <w:rPr>
          <w:lang w:val="fr-FR"/>
        </w:rPr>
        <w:t xml:space="preserve">préparer le </w:t>
      </w:r>
      <w:r>
        <w:rPr>
          <w:lang w:val="fr-FR"/>
        </w:rPr>
        <w:t xml:space="preserve">rapport annuel de l’Équipe de base ; </w:t>
      </w:r>
      <w:r w:rsidR="00033102">
        <w:rPr>
          <w:lang w:val="fr-FR"/>
        </w:rPr>
        <w:t xml:space="preserve">recueillir et diffuser </w:t>
      </w:r>
      <w:r>
        <w:rPr>
          <w:lang w:val="fr-FR"/>
        </w:rPr>
        <w:t>plus active</w:t>
      </w:r>
      <w:r w:rsidR="00033102">
        <w:rPr>
          <w:lang w:val="fr-FR"/>
        </w:rPr>
        <w:t>ment</w:t>
      </w:r>
      <w:r>
        <w:rPr>
          <w:lang w:val="fr-FR"/>
        </w:rPr>
        <w:t xml:space="preserve"> de</w:t>
      </w:r>
      <w:r w:rsidR="00033102">
        <w:rPr>
          <w:lang w:val="fr-FR"/>
        </w:rPr>
        <w:t xml:space="preserve">s reportages </w:t>
      </w:r>
      <w:r>
        <w:rPr>
          <w:lang w:val="fr-FR"/>
        </w:rPr>
        <w:t>sur le terrain ;</w:t>
      </w:r>
      <w:r w:rsidR="00033102">
        <w:rPr>
          <w:lang w:val="fr-FR"/>
        </w:rPr>
        <w:t xml:space="preserve"> formuler davantage </w:t>
      </w:r>
      <w:r>
        <w:rPr>
          <w:lang w:val="fr-FR"/>
        </w:rPr>
        <w:t>de commentaires sur des questions d’actualité choisi</w:t>
      </w:r>
      <w:r w:rsidR="00033102">
        <w:rPr>
          <w:lang w:val="fr-FR"/>
        </w:rPr>
        <w:t>e</w:t>
      </w:r>
      <w:r>
        <w:rPr>
          <w:lang w:val="fr-FR"/>
        </w:rPr>
        <w:t xml:space="preserve">s en matière de coopération au développement pour la santé. L’Équipe de base </w:t>
      </w:r>
      <w:r w:rsidR="00033102">
        <w:rPr>
          <w:lang w:val="fr-FR"/>
        </w:rPr>
        <w:t xml:space="preserve">poursuivra </w:t>
      </w:r>
      <w:r>
        <w:rPr>
          <w:lang w:val="fr-FR"/>
        </w:rPr>
        <w:t>le dialogue avec les partenaires de l’IHP+, notamment par le biais du Groupe de référence, en vue d’améliorer le plaidoyer et les communications.</w:t>
      </w:r>
      <w:r w:rsidR="007F4FC0" w:rsidRPr="00BB4B1A">
        <w:rPr>
          <w:lang w:val="fr-FR"/>
        </w:rPr>
        <w:t xml:space="preserve"> </w:t>
      </w:r>
    </w:p>
    <w:p w14:paraId="7ED015FB" w14:textId="77777777" w:rsidR="007C56AD" w:rsidRPr="00BB4B1A" w:rsidRDefault="007C56AD">
      <w:pPr>
        <w:shd w:val="clear" w:color="auto" w:fill="FFFFFF" w:themeFill="background1"/>
        <w:spacing w:after="0"/>
        <w:ind w:left="360"/>
        <w:rPr>
          <w:lang w:val="fr-FR"/>
        </w:rPr>
      </w:pPr>
    </w:p>
    <w:p w14:paraId="0FE844FC" w14:textId="77777777" w:rsidR="00E13B5D" w:rsidRPr="00BB4B1A" w:rsidRDefault="00430E96" w:rsidP="00F83FC1">
      <w:pPr>
        <w:spacing w:after="0"/>
        <w:ind w:left="360"/>
        <w:rPr>
          <w:b/>
          <w:sz w:val="24"/>
          <w:szCs w:val="24"/>
          <w:lang w:val="fr-FR"/>
        </w:rPr>
      </w:pPr>
      <w:r w:rsidRPr="00BB4B1A">
        <w:rPr>
          <w:b/>
          <w:sz w:val="24"/>
          <w:szCs w:val="24"/>
          <w:lang w:val="fr-FR"/>
        </w:rPr>
        <w:t xml:space="preserve">D.3 </w:t>
      </w:r>
      <w:r w:rsidR="00033102">
        <w:rPr>
          <w:b/>
          <w:sz w:val="24"/>
          <w:szCs w:val="24"/>
          <w:lang w:val="fr-FR"/>
        </w:rPr>
        <w:t>Suivi par l’É</w:t>
      </w:r>
      <w:r w:rsidR="002205F7">
        <w:rPr>
          <w:b/>
          <w:sz w:val="24"/>
          <w:szCs w:val="24"/>
          <w:lang w:val="fr-FR"/>
        </w:rPr>
        <w:t>quipe de base des progrès sur les résultats convenus</w:t>
      </w:r>
    </w:p>
    <w:p w14:paraId="5CAB2254" w14:textId="77777777" w:rsidR="00E13B5D" w:rsidRPr="00BB4B1A" w:rsidRDefault="002205F7" w:rsidP="00F83FC1">
      <w:pPr>
        <w:spacing w:after="0"/>
        <w:ind w:left="360"/>
        <w:rPr>
          <w:lang w:val="fr-FR"/>
        </w:rPr>
      </w:pPr>
      <w:r>
        <w:rPr>
          <w:lang w:val="fr-FR"/>
        </w:rPr>
        <w:t xml:space="preserve">L’Équipe de base surveillera les progrès sur les résultats du plan de travail et </w:t>
      </w:r>
      <w:r w:rsidR="00033102">
        <w:rPr>
          <w:lang w:val="fr-FR"/>
        </w:rPr>
        <w:t xml:space="preserve">en référera </w:t>
      </w:r>
      <w:r>
        <w:rPr>
          <w:lang w:val="fr-FR"/>
        </w:rPr>
        <w:t>aux réunions du Comité directeur.</w:t>
      </w:r>
      <w:r w:rsidR="00E13B5D" w:rsidRPr="00BB4B1A">
        <w:rPr>
          <w:lang w:val="fr-FR"/>
        </w:rPr>
        <w:t xml:space="preserve"> </w:t>
      </w:r>
    </w:p>
    <w:p w14:paraId="2C50E5DB" w14:textId="77777777" w:rsidR="007C56AD" w:rsidRPr="00BB4B1A" w:rsidRDefault="007C56AD" w:rsidP="00F83FC1">
      <w:pPr>
        <w:spacing w:after="0"/>
        <w:ind w:left="360"/>
        <w:rPr>
          <w:lang w:val="fr-FR"/>
        </w:rPr>
      </w:pPr>
    </w:p>
    <w:p w14:paraId="368EC745" w14:textId="77777777" w:rsidR="000C6E3D" w:rsidRPr="00BB4B1A" w:rsidRDefault="00430E96" w:rsidP="000C6E3D">
      <w:pPr>
        <w:shd w:val="clear" w:color="auto" w:fill="FFFFFF" w:themeFill="background1"/>
        <w:spacing w:after="0"/>
        <w:ind w:left="360"/>
        <w:rPr>
          <w:b/>
          <w:sz w:val="24"/>
          <w:szCs w:val="24"/>
          <w:lang w:val="fr-FR"/>
        </w:rPr>
      </w:pPr>
      <w:r w:rsidRPr="00BB4B1A">
        <w:rPr>
          <w:b/>
          <w:sz w:val="24"/>
          <w:szCs w:val="24"/>
          <w:lang w:val="fr-FR"/>
        </w:rPr>
        <w:t xml:space="preserve">D.4 </w:t>
      </w:r>
      <w:r w:rsidR="00033102">
        <w:rPr>
          <w:b/>
          <w:sz w:val="24"/>
          <w:szCs w:val="24"/>
          <w:lang w:val="fr-FR"/>
        </w:rPr>
        <w:t>Fonctionnement</w:t>
      </w:r>
      <w:r w:rsidR="002205F7">
        <w:rPr>
          <w:b/>
          <w:sz w:val="24"/>
          <w:szCs w:val="24"/>
          <w:lang w:val="fr-FR"/>
        </w:rPr>
        <w:t xml:space="preserve"> de l’Équipe de base de l’</w:t>
      </w:r>
      <w:r w:rsidR="000C6E3D" w:rsidRPr="00BB4B1A">
        <w:rPr>
          <w:b/>
          <w:sz w:val="24"/>
          <w:szCs w:val="24"/>
          <w:lang w:val="fr-FR"/>
        </w:rPr>
        <w:t xml:space="preserve">IHP+ </w:t>
      </w:r>
    </w:p>
    <w:p w14:paraId="1E7F6B33" w14:textId="77777777" w:rsidR="000C6E3D" w:rsidRPr="00BB4B1A" w:rsidRDefault="002205F7" w:rsidP="000C6E3D">
      <w:pPr>
        <w:shd w:val="clear" w:color="auto" w:fill="FFFFFF" w:themeFill="background1"/>
        <w:spacing w:after="0"/>
        <w:ind w:left="360"/>
        <w:rPr>
          <w:b/>
          <w:lang w:val="fr-FR"/>
        </w:rPr>
      </w:pPr>
      <w:r>
        <w:rPr>
          <w:lang w:val="fr-FR"/>
        </w:rPr>
        <w:t xml:space="preserve">Cette responsabilité est partagée entre les collaborateurs de la Banque mondiale et de l’OMS. La capacité de l’Équipe de base d’obtenir des résultats avec cet ambitieux programme de travail est en cours d’examen. Une fois que la stratégie et le plan de travail auront été finalisés, la capacité </w:t>
      </w:r>
      <w:r w:rsidR="00033102">
        <w:rPr>
          <w:lang w:val="fr-FR"/>
        </w:rPr>
        <w:t>de l’Équipe de base de</w:t>
      </w:r>
      <w:r>
        <w:rPr>
          <w:lang w:val="fr-FR"/>
        </w:rPr>
        <w:t xml:space="preserve"> faciliter, gérer et surveiller la mise en œuvre doit être étudiée et très probablement augmentée.</w:t>
      </w:r>
    </w:p>
    <w:p w14:paraId="194041CC" w14:textId="77777777" w:rsidR="007D2F66" w:rsidRPr="00BB4B1A" w:rsidRDefault="007D2F66" w:rsidP="007D2F66">
      <w:pPr>
        <w:ind w:left="360"/>
        <w:rPr>
          <w:lang w:val="fr-FR"/>
        </w:rPr>
      </w:pPr>
    </w:p>
    <w:p w14:paraId="5128E069" w14:textId="77777777" w:rsidR="001F05F4" w:rsidRPr="00BB4B1A" w:rsidRDefault="003905DA" w:rsidP="00F0429C">
      <w:pPr>
        <w:spacing w:after="0"/>
        <w:rPr>
          <w:b/>
          <w:lang w:val="fr-FR"/>
        </w:rPr>
      </w:pPr>
      <w:r w:rsidRPr="00BB4B1A">
        <w:rPr>
          <w:b/>
          <w:smallCaps/>
          <w:sz w:val="28"/>
          <w:szCs w:val="28"/>
          <w:lang w:val="fr-FR"/>
        </w:rPr>
        <w:t>E</w:t>
      </w:r>
      <w:r w:rsidR="00B74DA4" w:rsidRPr="00BB4B1A">
        <w:rPr>
          <w:b/>
          <w:smallCaps/>
          <w:sz w:val="28"/>
          <w:szCs w:val="28"/>
          <w:lang w:val="fr-FR"/>
        </w:rPr>
        <w:t>.</w:t>
      </w:r>
      <w:r w:rsidR="00B74DA4" w:rsidRPr="00BB4B1A">
        <w:rPr>
          <w:b/>
          <w:smallCaps/>
          <w:sz w:val="28"/>
          <w:szCs w:val="28"/>
          <w:lang w:val="fr-FR"/>
        </w:rPr>
        <w:tab/>
      </w:r>
      <w:r w:rsidR="002205F7">
        <w:rPr>
          <w:b/>
          <w:smallCaps/>
          <w:sz w:val="28"/>
          <w:szCs w:val="28"/>
          <w:lang w:val="fr-FR"/>
        </w:rPr>
        <w:t>Plan de travail avec b</w:t>
      </w:r>
      <w:r w:rsidR="00B74DA4" w:rsidRPr="00BB4B1A">
        <w:rPr>
          <w:b/>
          <w:smallCaps/>
          <w:sz w:val="28"/>
          <w:szCs w:val="28"/>
          <w:lang w:val="fr-FR"/>
        </w:rPr>
        <w:t>udget</w:t>
      </w:r>
    </w:p>
    <w:tbl>
      <w:tblPr>
        <w:tblStyle w:val="TableGrid"/>
        <w:tblW w:w="0" w:type="auto"/>
        <w:tblLook w:val="04A0" w:firstRow="1" w:lastRow="0" w:firstColumn="1" w:lastColumn="0" w:noHBand="0" w:noVBand="1"/>
      </w:tblPr>
      <w:tblGrid>
        <w:gridCol w:w="1044"/>
        <w:gridCol w:w="6520"/>
        <w:gridCol w:w="1763"/>
      </w:tblGrid>
      <w:tr w:rsidR="001F05F4" w:rsidRPr="00BB4B1A" w14:paraId="43673F75" w14:textId="77777777" w:rsidTr="001C3262">
        <w:tc>
          <w:tcPr>
            <w:tcW w:w="959" w:type="dxa"/>
          </w:tcPr>
          <w:p w14:paraId="283609EB" w14:textId="77777777" w:rsidR="001F05F4" w:rsidRPr="00BB4B1A" w:rsidRDefault="002205F7" w:rsidP="002205F7">
            <w:pPr>
              <w:jc w:val="center"/>
              <w:rPr>
                <w:b/>
                <w:lang w:val="fr-FR"/>
              </w:rPr>
            </w:pPr>
            <w:r>
              <w:rPr>
                <w:b/>
                <w:lang w:val="fr-FR"/>
              </w:rPr>
              <w:t>Domaine</w:t>
            </w:r>
          </w:p>
        </w:tc>
        <w:tc>
          <w:tcPr>
            <w:tcW w:w="6520" w:type="dxa"/>
          </w:tcPr>
          <w:p w14:paraId="3C2733D2" w14:textId="77777777" w:rsidR="001F05F4" w:rsidRPr="00BB4B1A" w:rsidRDefault="001F05F4" w:rsidP="001F05F4">
            <w:pPr>
              <w:rPr>
                <w:b/>
                <w:lang w:val="fr-FR"/>
              </w:rPr>
            </w:pPr>
          </w:p>
        </w:tc>
        <w:tc>
          <w:tcPr>
            <w:tcW w:w="1763" w:type="dxa"/>
          </w:tcPr>
          <w:p w14:paraId="46FBC2A6" w14:textId="77777777" w:rsidR="001F05F4" w:rsidRPr="00BB4B1A" w:rsidRDefault="001F05F4" w:rsidP="001F05F4">
            <w:pPr>
              <w:jc w:val="center"/>
              <w:rPr>
                <w:lang w:val="fr-FR"/>
              </w:rPr>
            </w:pPr>
            <w:r w:rsidRPr="00BB4B1A">
              <w:rPr>
                <w:lang w:val="fr-FR"/>
              </w:rPr>
              <w:t>$</w:t>
            </w:r>
          </w:p>
        </w:tc>
      </w:tr>
      <w:tr w:rsidR="001F05F4" w:rsidRPr="00BB4B1A" w14:paraId="28B70D45" w14:textId="77777777" w:rsidTr="001C3262">
        <w:tc>
          <w:tcPr>
            <w:tcW w:w="959" w:type="dxa"/>
          </w:tcPr>
          <w:p w14:paraId="6AFA4D95" w14:textId="77777777" w:rsidR="001F05F4" w:rsidRPr="00BB4B1A" w:rsidRDefault="001F05F4" w:rsidP="001F05F4">
            <w:pPr>
              <w:jc w:val="center"/>
              <w:rPr>
                <w:lang w:val="fr-FR"/>
              </w:rPr>
            </w:pPr>
          </w:p>
          <w:p w14:paraId="1F7F446B" w14:textId="77777777" w:rsidR="001F05F4" w:rsidRPr="00BB4B1A" w:rsidRDefault="0087259E" w:rsidP="001F05F4">
            <w:pPr>
              <w:jc w:val="center"/>
              <w:rPr>
                <w:lang w:val="fr-FR"/>
              </w:rPr>
            </w:pPr>
            <w:r w:rsidRPr="00BB4B1A">
              <w:rPr>
                <w:lang w:val="fr-FR"/>
              </w:rPr>
              <w:t>A</w:t>
            </w:r>
          </w:p>
        </w:tc>
        <w:tc>
          <w:tcPr>
            <w:tcW w:w="6520" w:type="dxa"/>
          </w:tcPr>
          <w:p w14:paraId="707076F0" w14:textId="77777777" w:rsidR="001F05F4" w:rsidRPr="00BB4B1A" w:rsidRDefault="002205F7" w:rsidP="001F05F4">
            <w:pPr>
              <w:rPr>
                <w:b/>
                <w:lang w:val="fr-FR"/>
              </w:rPr>
            </w:pPr>
            <w:r>
              <w:rPr>
                <w:b/>
                <w:lang w:val="fr-FR"/>
              </w:rPr>
              <w:t>Action politique et organisationnelle</w:t>
            </w:r>
          </w:p>
          <w:p w14:paraId="258FCCA0" w14:textId="77777777" w:rsidR="001F05F4" w:rsidRPr="00BB4B1A" w:rsidRDefault="001F05F4" w:rsidP="00BA67CE">
            <w:pPr>
              <w:numPr>
                <w:ilvl w:val="1"/>
                <w:numId w:val="37"/>
              </w:numPr>
              <w:contextualSpacing/>
              <w:rPr>
                <w:rFonts w:eastAsiaTheme="minorHAnsi"/>
                <w:sz w:val="20"/>
                <w:szCs w:val="20"/>
                <w:lang w:val="fr-FR" w:eastAsia="en-US"/>
              </w:rPr>
            </w:pPr>
            <w:r w:rsidRPr="00BB4B1A">
              <w:rPr>
                <w:sz w:val="20"/>
                <w:szCs w:val="20"/>
                <w:lang w:val="fr-FR"/>
              </w:rPr>
              <w:t>Intensifie</w:t>
            </w:r>
            <w:r w:rsidR="00033102">
              <w:rPr>
                <w:sz w:val="20"/>
                <w:szCs w:val="20"/>
                <w:lang w:val="fr-FR"/>
              </w:rPr>
              <w:t>r l’action parmi les institutions internationales</w:t>
            </w:r>
          </w:p>
          <w:p w14:paraId="18A9DE49" w14:textId="77777777" w:rsidR="001F05F4" w:rsidRPr="00BB4B1A" w:rsidRDefault="00033102" w:rsidP="00BA67CE">
            <w:pPr>
              <w:numPr>
                <w:ilvl w:val="1"/>
                <w:numId w:val="37"/>
              </w:numPr>
              <w:contextualSpacing/>
              <w:rPr>
                <w:rFonts w:eastAsiaTheme="minorHAnsi"/>
                <w:sz w:val="20"/>
                <w:szCs w:val="20"/>
                <w:lang w:val="fr-FR" w:eastAsia="en-US"/>
              </w:rPr>
            </w:pPr>
            <w:r>
              <w:rPr>
                <w:sz w:val="20"/>
                <w:szCs w:val="20"/>
                <w:lang w:val="fr-FR"/>
              </w:rPr>
              <w:t>Intensifier l’action et tirer des leçons dans des pays choisis</w:t>
            </w:r>
          </w:p>
          <w:p w14:paraId="47C146EC" w14:textId="77777777" w:rsidR="001F05F4" w:rsidRPr="00BB4B1A" w:rsidRDefault="00033102" w:rsidP="00033102">
            <w:pPr>
              <w:numPr>
                <w:ilvl w:val="1"/>
                <w:numId w:val="37"/>
              </w:numPr>
              <w:contextualSpacing/>
              <w:rPr>
                <w:lang w:val="fr-FR"/>
              </w:rPr>
            </w:pPr>
            <w:r>
              <w:rPr>
                <w:sz w:val="20"/>
                <w:szCs w:val="20"/>
                <w:lang w:val="fr-FR"/>
              </w:rPr>
              <w:t>Tendances mondiales de la coopération au développement, place de l’</w:t>
            </w:r>
            <w:r w:rsidR="00A20B92" w:rsidRPr="00BB4B1A">
              <w:rPr>
                <w:sz w:val="20"/>
                <w:szCs w:val="20"/>
                <w:lang w:val="fr-FR"/>
              </w:rPr>
              <w:t>IHP+</w:t>
            </w:r>
          </w:p>
        </w:tc>
        <w:tc>
          <w:tcPr>
            <w:tcW w:w="1763" w:type="dxa"/>
          </w:tcPr>
          <w:p w14:paraId="5CCAB29C" w14:textId="77777777" w:rsidR="001F05F4" w:rsidRPr="00BB4B1A" w:rsidRDefault="001F05F4" w:rsidP="001F05F4">
            <w:pPr>
              <w:jc w:val="center"/>
              <w:rPr>
                <w:lang w:val="fr-FR"/>
              </w:rPr>
            </w:pPr>
          </w:p>
          <w:p w14:paraId="6732F392" w14:textId="77777777" w:rsidR="001F05F4" w:rsidRPr="00BB4B1A" w:rsidRDefault="00C11487" w:rsidP="00033102">
            <w:pPr>
              <w:jc w:val="center"/>
              <w:rPr>
                <w:lang w:val="fr-FR"/>
              </w:rPr>
            </w:pPr>
            <w:r w:rsidRPr="00BB4B1A">
              <w:rPr>
                <w:lang w:val="fr-FR"/>
              </w:rPr>
              <w:t>1</w:t>
            </w:r>
            <w:r w:rsidR="00033102">
              <w:rPr>
                <w:lang w:val="fr-FR"/>
              </w:rPr>
              <w:t> </w:t>
            </w:r>
            <w:r w:rsidR="007A1665" w:rsidRPr="00BB4B1A">
              <w:rPr>
                <w:lang w:val="fr-FR"/>
              </w:rPr>
              <w:t>15</w:t>
            </w:r>
            <w:r w:rsidR="001F05F4" w:rsidRPr="00BB4B1A">
              <w:rPr>
                <w:lang w:val="fr-FR"/>
              </w:rPr>
              <w:t>0</w:t>
            </w:r>
            <w:r w:rsidR="00033102">
              <w:rPr>
                <w:lang w:val="fr-FR"/>
              </w:rPr>
              <w:t> </w:t>
            </w:r>
            <w:r w:rsidR="001F05F4" w:rsidRPr="00BB4B1A">
              <w:rPr>
                <w:lang w:val="fr-FR"/>
              </w:rPr>
              <w:t>000</w:t>
            </w:r>
          </w:p>
        </w:tc>
      </w:tr>
      <w:tr w:rsidR="001F05F4" w:rsidRPr="00BB4B1A" w14:paraId="1B14A023" w14:textId="77777777" w:rsidTr="001C3262">
        <w:tc>
          <w:tcPr>
            <w:tcW w:w="959" w:type="dxa"/>
          </w:tcPr>
          <w:p w14:paraId="1184D2C1" w14:textId="77777777" w:rsidR="001F05F4" w:rsidRPr="00BB4B1A" w:rsidRDefault="001F05F4" w:rsidP="001F05F4">
            <w:pPr>
              <w:jc w:val="center"/>
              <w:rPr>
                <w:lang w:val="fr-FR"/>
              </w:rPr>
            </w:pPr>
          </w:p>
          <w:p w14:paraId="2F9602EB" w14:textId="77777777" w:rsidR="001F05F4" w:rsidRPr="00BB4B1A" w:rsidRDefault="0087259E" w:rsidP="001F05F4">
            <w:pPr>
              <w:jc w:val="center"/>
              <w:rPr>
                <w:lang w:val="fr-FR"/>
              </w:rPr>
            </w:pPr>
            <w:r w:rsidRPr="00BB4B1A">
              <w:rPr>
                <w:lang w:val="fr-FR"/>
              </w:rPr>
              <w:t>B</w:t>
            </w:r>
          </w:p>
        </w:tc>
        <w:tc>
          <w:tcPr>
            <w:tcW w:w="6520" w:type="dxa"/>
          </w:tcPr>
          <w:p w14:paraId="28FAABD1" w14:textId="77777777" w:rsidR="001F05F4" w:rsidRPr="00BB4B1A" w:rsidRDefault="001F05F4" w:rsidP="001F05F4">
            <w:pPr>
              <w:rPr>
                <w:b/>
                <w:lang w:val="fr-FR"/>
              </w:rPr>
            </w:pPr>
            <w:r w:rsidRPr="00BB4B1A">
              <w:rPr>
                <w:b/>
                <w:lang w:val="fr-FR"/>
              </w:rPr>
              <w:t xml:space="preserve">Approches </w:t>
            </w:r>
            <w:r w:rsidR="00033102">
              <w:rPr>
                <w:b/>
                <w:lang w:val="fr-FR"/>
              </w:rPr>
              <w:t>et outils</w:t>
            </w:r>
          </w:p>
          <w:p w14:paraId="339E3E7A" w14:textId="77777777" w:rsidR="001F05F4" w:rsidRPr="00BB4B1A" w:rsidRDefault="00C11487" w:rsidP="001F05F4">
            <w:pPr>
              <w:shd w:val="clear" w:color="auto" w:fill="FFFFFF" w:themeFill="background1"/>
              <w:rPr>
                <w:sz w:val="20"/>
                <w:szCs w:val="20"/>
                <w:lang w:val="fr-FR"/>
              </w:rPr>
            </w:pPr>
            <w:r w:rsidRPr="00BB4B1A">
              <w:rPr>
                <w:sz w:val="20"/>
                <w:szCs w:val="20"/>
                <w:lang w:val="fr-FR"/>
              </w:rPr>
              <w:t>1</w:t>
            </w:r>
            <w:r w:rsidR="001F05F4" w:rsidRPr="00BB4B1A">
              <w:rPr>
                <w:sz w:val="20"/>
                <w:szCs w:val="20"/>
                <w:lang w:val="fr-FR"/>
              </w:rPr>
              <w:t xml:space="preserve">.1 </w:t>
            </w:r>
            <w:r w:rsidR="00033102">
              <w:rPr>
                <w:sz w:val="20"/>
                <w:szCs w:val="20"/>
                <w:lang w:val="fr-FR"/>
              </w:rPr>
              <w:t>Plateforme nationale unique de suivi et redevabilité</w:t>
            </w:r>
          </w:p>
          <w:p w14:paraId="58CFA815" w14:textId="77777777" w:rsidR="001F05F4" w:rsidRPr="00BB4B1A" w:rsidRDefault="00C11487" w:rsidP="001F05F4">
            <w:pPr>
              <w:shd w:val="clear" w:color="auto" w:fill="FFFFFF" w:themeFill="background1"/>
              <w:rPr>
                <w:sz w:val="20"/>
                <w:szCs w:val="20"/>
                <w:lang w:val="fr-FR"/>
              </w:rPr>
            </w:pPr>
            <w:r w:rsidRPr="00BB4B1A">
              <w:rPr>
                <w:sz w:val="20"/>
                <w:szCs w:val="20"/>
                <w:lang w:val="fr-FR"/>
              </w:rPr>
              <w:t>1</w:t>
            </w:r>
            <w:r w:rsidR="001F05F4" w:rsidRPr="00BB4B1A">
              <w:rPr>
                <w:sz w:val="20"/>
                <w:szCs w:val="20"/>
                <w:lang w:val="fr-FR"/>
              </w:rPr>
              <w:t xml:space="preserve">.2 </w:t>
            </w:r>
            <w:r w:rsidR="00033102">
              <w:rPr>
                <w:sz w:val="20"/>
                <w:szCs w:val="20"/>
                <w:lang w:val="fr-FR"/>
              </w:rPr>
              <w:t>Harmonisation et alignement de la gestion financière</w:t>
            </w:r>
          </w:p>
          <w:p w14:paraId="31701EB2" w14:textId="77777777" w:rsidR="001F05F4" w:rsidRPr="00BB4B1A" w:rsidRDefault="001F05F4" w:rsidP="001F05F4">
            <w:pPr>
              <w:shd w:val="clear" w:color="auto" w:fill="FFFFFF" w:themeFill="background1"/>
              <w:rPr>
                <w:sz w:val="20"/>
                <w:szCs w:val="20"/>
                <w:lang w:val="fr-FR"/>
              </w:rPr>
            </w:pPr>
            <w:r w:rsidRPr="00BB4B1A">
              <w:rPr>
                <w:sz w:val="20"/>
                <w:szCs w:val="20"/>
                <w:lang w:val="fr-FR"/>
              </w:rPr>
              <w:t>2.</w:t>
            </w:r>
            <w:r w:rsidR="00C11487" w:rsidRPr="00BB4B1A">
              <w:rPr>
                <w:sz w:val="20"/>
                <w:szCs w:val="20"/>
                <w:lang w:val="fr-FR"/>
              </w:rPr>
              <w:t>1</w:t>
            </w:r>
            <w:r w:rsidR="00033102">
              <w:rPr>
                <w:sz w:val="20"/>
                <w:szCs w:val="20"/>
                <w:lang w:val="fr-FR"/>
              </w:rPr>
              <w:t xml:space="preserve">Évaluations </w:t>
            </w:r>
            <w:r w:rsidRPr="00BB4B1A">
              <w:rPr>
                <w:sz w:val="20"/>
                <w:szCs w:val="20"/>
                <w:lang w:val="fr-FR"/>
              </w:rPr>
              <w:t xml:space="preserve">JANS </w:t>
            </w:r>
            <w:r w:rsidR="00033102">
              <w:rPr>
                <w:sz w:val="20"/>
                <w:szCs w:val="20"/>
                <w:lang w:val="fr-FR"/>
              </w:rPr>
              <w:t>et pactes</w:t>
            </w:r>
          </w:p>
          <w:p w14:paraId="3556702D" w14:textId="77777777" w:rsidR="00B368F8" w:rsidRPr="00BB4B1A" w:rsidRDefault="00B368F8" w:rsidP="001F05F4">
            <w:pPr>
              <w:shd w:val="clear" w:color="auto" w:fill="FFFFFF" w:themeFill="background1"/>
              <w:rPr>
                <w:sz w:val="20"/>
                <w:szCs w:val="20"/>
                <w:lang w:val="fr-FR"/>
              </w:rPr>
            </w:pPr>
            <w:r w:rsidRPr="00BB4B1A">
              <w:rPr>
                <w:sz w:val="20"/>
                <w:szCs w:val="20"/>
                <w:lang w:val="fr-FR"/>
              </w:rPr>
              <w:t>2.</w:t>
            </w:r>
            <w:r w:rsidR="00C11487" w:rsidRPr="00BB4B1A">
              <w:rPr>
                <w:sz w:val="20"/>
                <w:szCs w:val="20"/>
                <w:lang w:val="fr-FR"/>
              </w:rPr>
              <w:t>2</w:t>
            </w:r>
            <w:r w:rsidRPr="00BB4B1A">
              <w:rPr>
                <w:sz w:val="20"/>
                <w:szCs w:val="20"/>
                <w:lang w:val="fr-FR"/>
              </w:rPr>
              <w:t xml:space="preserve"> </w:t>
            </w:r>
            <w:r w:rsidR="00033102">
              <w:rPr>
                <w:sz w:val="20"/>
                <w:szCs w:val="20"/>
                <w:lang w:val="fr-FR"/>
              </w:rPr>
              <w:t xml:space="preserve">Participation des OSC aux processus nationaux en matière de politiques </w:t>
            </w:r>
            <w:r w:rsidR="00033102">
              <w:rPr>
                <w:sz w:val="20"/>
                <w:szCs w:val="20"/>
                <w:lang w:val="fr-FR"/>
              </w:rPr>
              <w:lastRenderedPageBreak/>
              <w:t>et de redevabilité</w:t>
            </w:r>
          </w:p>
          <w:p w14:paraId="501A3C33" w14:textId="77777777" w:rsidR="00A20B92" w:rsidRPr="00BB4B1A" w:rsidRDefault="00A20B92" w:rsidP="00A20B92">
            <w:pPr>
              <w:shd w:val="clear" w:color="auto" w:fill="FFFFFF" w:themeFill="background1"/>
              <w:rPr>
                <w:lang w:val="fr-FR"/>
              </w:rPr>
            </w:pPr>
            <w:r w:rsidRPr="00BB4B1A">
              <w:rPr>
                <w:sz w:val="20"/>
                <w:szCs w:val="20"/>
                <w:lang w:val="fr-FR"/>
              </w:rPr>
              <w:t>2.3 P</w:t>
            </w:r>
            <w:r w:rsidR="00033102">
              <w:rPr>
                <w:sz w:val="20"/>
                <w:szCs w:val="20"/>
                <w:lang w:val="fr-FR"/>
              </w:rPr>
              <w:t>assation des marchés</w:t>
            </w:r>
          </w:p>
          <w:p w14:paraId="19843FCE" w14:textId="77777777" w:rsidR="001F05F4" w:rsidRPr="00BB4B1A" w:rsidRDefault="00C11487" w:rsidP="001F05F4">
            <w:pPr>
              <w:shd w:val="clear" w:color="auto" w:fill="FFFFFF" w:themeFill="background1"/>
              <w:rPr>
                <w:sz w:val="20"/>
                <w:szCs w:val="20"/>
                <w:lang w:val="fr-FR"/>
              </w:rPr>
            </w:pPr>
            <w:r w:rsidRPr="00BB4B1A">
              <w:rPr>
                <w:sz w:val="20"/>
                <w:szCs w:val="20"/>
                <w:lang w:val="fr-FR"/>
              </w:rPr>
              <w:t>3</w:t>
            </w:r>
            <w:r w:rsidR="001F05F4" w:rsidRPr="00BB4B1A">
              <w:rPr>
                <w:sz w:val="20"/>
                <w:szCs w:val="20"/>
                <w:lang w:val="fr-FR"/>
              </w:rPr>
              <w:t>.</w:t>
            </w:r>
            <w:r w:rsidRPr="00BB4B1A">
              <w:rPr>
                <w:sz w:val="20"/>
                <w:szCs w:val="20"/>
                <w:lang w:val="fr-FR"/>
              </w:rPr>
              <w:t>1</w:t>
            </w:r>
            <w:r w:rsidR="001F05F4" w:rsidRPr="00BB4B1A">
              <w:rPr>
                <w:sz w:val="20"/>
                <w:szCs w:val="20"/>
                <w:lang w:val="fr-FR"/>
              </w:rPr>
              <w:t xml:space="preserve"> </w:t>
            </w:r>
            <w:r w:rsidR="00033102">
              <w:rPr>
                <w:sz w:val="20"/>
                <w:szCs w:val="20"/>
                <w:lang w:val="fr-FR"/>
              </w:rPr>
              <w:t>Coopération Sud-Sud pour le développement sanitaire</w:t>
            </w:r>
          </w:p>
          <w:p w14:paraId="01907C0F" w14:textId="77777777" w:rsidR="001F05F4" w:rsidRPr="00BB4B1A" w:rsidRDefault="00C11487" w:rsidP="001F05F4">
            <w:pPr>
              <w:shd w:val="clear" w:color="auto" w:fill="FFFFFF" w:themeFill="background1"/>
              <w:rPr>
                <w:sz w:val="20"/>
                <w:szCs w:val="20"/>
                <w:lang w:val="fr-FR"/>
              </w:rPr>
            </w:pPr>
            <w:r w:rsidRPr="00BB4B1A">
              <w:rPr>
                <w:sz w:val="20"/>
                <w:szCs w:val="20"/>
                <w:lang w:val="fr-FR"/>
              </w:rPr>
              <w:t>3.2</w:t>
            </w:r>
            <w:r w:rsidR="001F05F4" w:rsidRPr="00BB4B1A">
              <w:rPr>
                <w:lang w:val="fr-FR"/>
              </w:rPr>
              <w:t xml:space="preserve"> </w:t>
            </w:r>
            <w:r w:rsidR="00033102">
              <w:rPr>
                <w:sz w:val="20"/>
                <w:szCs w:val="20"/>
                <w:lang w:val="fr-FR"/>
              </w:rPr>
              <w:t>Assistance technique planifiée de façon stratégique et bien coordonnée</w:t>
            </w:r>
          </w:p>
          <w:p w14:paraId="1EF40419" w14:textId="77777777" w:rsidR="001F05F4" w:rsidRPr="00BB4B1A" w:rsidRDefault="00C11487" w:rsidP="00033102">
            <w:pPr>
              <w:shd w:val="clear" w:color="auto" w:fill="FFFFFF" w:themeFill="background1"/>
              <w:rPr>
                <w:sz w:val="20"/>
                <w:szCs w:val="20"/>
                <w:lang w:val="fr-FR"/>
              </w:rPr>
            </w:pPr>
            <w:r w:rsidRPr="00BB4B1A">
              <w:rPr>
                <w:sz w:val="20"/>
                <w:szCs w:val="20"/>
                <w:lang w:val="fr-FR"/>
              </w:rPr>
              <w:t>4</w:t>
            </w:r>
            <w:r w:rsidR="007A64AF" w:rsidRPr="00BB4B1A">
              <w:rPr>
                <w:sz w:val="20"/>
                <w:szCs w:val="20"/>
                <w:lang w:val="fr-FR"/>
              </w:rPr>
              <w:t xml:space="preserve"> </w:t>
            </w:r>
            <w:r w:rsidR="00183F03" w:rsidRPr="00BB4B1A">
              <w:rPr>
                <w:sz w:val="20"/>
                <w:szCs w:val="20"/>
                <w:lang w:val="fr-FR"/>
              </w:rPr>
              <w:t xml:space="preserve">  </w:t>
            </w:r>
            <w:r w:rsidR="00033102">
              <w:rPr>
                <w:sz w:val="20"/>
                <w:szCs w:val="20"/>
                <w:lang w:val="fr-FR"/>
              </w:rPr>
              <w:t>Allocations aux pays pour soutenir le dialogue politique, la gestion des partenariats et le suivi des performances</w:t>
            </w:r>
          </w:p>
        </w:tc>
        <w:tc>
          <w:tcPr>
            <w:tcW w:w="1763" w:type="dxa"/>
          </w:tcPr>
          <w:p w14:paraId="124DF2DA" w14:textId="77777777" w:rsidR="001F05F4" w:rsidRPr="00BB4B1A" w:rsidRDefault="001F05F4" w:rsidP="001F05F4">
            <w:pPr>
              <w:jc w:val="center"/>
              <w:rPr>
                <w:lang w:val="fr-FR"/>
              </w:rPr>
            </w:pPr>
          </w:p>
          <w:p w14:paraId="536A43EA" w14:textId="77777777" w:rsidR="001F05F4" w:rsidRPr="00BB4B1A" w:rsidRDefault="001F05F4" w:rsidP="001F05F4">
            <w:pPr>
              <w:jc w:val="center"/>
              <w:rPr>
                <w:lang w:val="fr-FR"/>
              </w:rPr>
            </w:pPr>
          </w:p>
          <w:p w14:paraId="2EBC385F" w14:textId="77777777" w:rsidR="001F05F4" w:rsidRPr="00BB4B1A" w:rsidRDefault="001F05F4" w:rsidP="001F05F4">
            <w:pPr>
              <w:jc w:val="center"/>
              <w:rPr>
                <w:lang w:val="fr-FR"/>
              </w:rPr>
            </w:pPr>
          </w:p>
          <w:p w14:paraId="05CB53E8" w14:textId="77777777" w:rsidR="00B368F8" w:rsidRPr="00BB4B1A" w:rsidRDefault="00B368F8" w:rsidP="001F05F4">
            <w:pPr>
              <w:jc w:val="center"/>
              <w:rPr>
                <w:lang w:val="fr-FR"/>
              </w:rPr>
            </w:pPr>
          </w:p>
          <w:p w14:paraId="645E9204" w14:textId="77777777" w:rsidR="001F05F4" w:rsidRPr="00BB4B1A" w:rsidRDefault="007A1665" w:rsidP="00033102">
            <w:pPr>
              <w:jc w:val="center"/>
              <w:rPr>
                <w:lang w:val="fr-FR"/>
              </w:rPr>
            </w:pPr>
            <w:r w:rsidRPr="00BB4B1A">
              <w:rPr>
                <w:lang w:val="fr-FR"/>
              </w:rPr>
              <w:t>3</w:t>
            </w:r>
            <w:r w:rsidR="00033102">
              <w:rPr>
                <w:lang w:val="fr-FR"/>
              </w:rPr>
              <w:t> </w:t>
            </w:r>
            <w:r w:rsidR="0087259E" w:rsidRPr="00BB4B1A">
              <w:rPr>
                <w:lang w:val="fr-FR"/>
              </w:rPr>
              <w:t>50</w:t>
            </w:r>
            <w:r w:rsidR="001F05F4" w:rsidRPr="00BB4B1A">
              <w:rPr>
                <w:lang w:val="fr-FR"/>
              </w:rPr>
              <w:t>0</w:t>
            </w:r>
            <w:r w:rsidR="00033102">
              <w:rPr>
                <w:lang w:val="fr-FR"/>
              </w:rPr>
              <w:t> </w:t>
            </w:r>
            <w:r w:rsidR="001F05F4" w:rsidRPr="00BB4B1A">
              <w:rPr>
                <w:lang w:val="fr-FR"/>
              </w:rPr>
              <w:t>000</w:t>
            </w:r>
          </w:p>
        </w:tc>
      </w:tr>
      <w:tr w:rsidR="001F05F4" w:rsidRPr="00BB4B1A" w14:paraId="480177CD" w14:textId="77777777" w:rsidTr="001C3262">
        <w:tc>
          <w:tcPr>
            <w:tcW w:w="959" w:type="dxa"/>
          </w:tcPr>
          <w:p w14:paraId="01501BC9" w14:textId="77777777" w:rsidR="001F05F4" w:rsidRPr="00BB4B1A" w:rsidRDefault="001F05F4" w:rsidP="001F05F4">
            <w:pPr>
              <w:jc w:val="center"/>
              <w:rPr>
                <w:lang w:val="fr-FR"/>
              </w:rPr>
            </w:pPr>
          </w:p>
          <w:p w14:paraId="7946A2EA" w14:textId="77777777" w:rsidR="001F05F4" w:rsidRPr="00BB4B1A" w:rsidRDefault="0087259E" w:rsidP="001F05F4">
            <w:pPr>
              <w:jc w:val="center"/>
              <w:rPr>
                <w:lang w:val="fr-FR"/>
              </w:rPr>
            </w:pPr>
            <w:r w:rsidRPr="00BB4B1A">
              <w:rPr>
                <w:lang w:val="fr-FR"/>
              </w:rPr>
              <w:t>C</w:t>
            </w:r>
          </w:p>
        </w:tc>
        <w:tc>
          <w:tcPr>
            <w:tcW w:w="6520" w:type="dxa"/>
          </w:tcPr>
          <w:p w14:paraId="25E4F45B" w14:textId="77777777" w:rsidR="00033102" w:rsidRDefault="00761DFC" w:rsidP="00033102">
            <w:pPr>
              <w:rPr>
                <w:b/>
                <w:lang w:val="fr-FR"/>
              </w:rPr>
            </w:pPr>
            <w:r>
              <w:rPr>
                <w:b/>
                <w:lang w:val="fr-FR"/>
              </w:rPr>
              <w:t>Redevabilité en matière de progrès et de ré</w:t>
            </w:r>
            <w:r w:rsidRPr="00033102">
              <w:rPr>
                <w:b/>
                <w:lang w:val="fr-FR"/>
              </w:rPr>
              <w:t>sultats</w:t>
            </w:r>
          </w:p>
          <w:p w14:paraId="5B7F0420" w14:textId="77777777" w:rsidR="00183F03" w:rsidRPr="00033102" w:rsidRDefault="00033102" w:rsidP="00033102">
            <w:pPr>
              <w:pStyle w:val="ListParagraph"/>
              <w:numPr>
                <w:ilvl w:val="0"/>
                <w:numId w:val="38"/>
              </w:numPr>
              <w:rPr>
                <w:sz w:val="20"/>
                <w:szCs w:val="20"/>
                <w:lang w:val="fr-FR"/>
              </w:rPr>
            </w:pPr>
            <w:r>
              <w:rPr>
                <w:sz w:val="20"/>
                <w:szCs w:val="20"/>
                <w:lang w:val="fr-FR"/>
              </w:rPr>
              <w:t>Quatrième cycle de suivi des engagements de tous les partenaires de l’IHP+ en faveur d’une coopération efficace au développement sanitaire</w:t>
            </w:r>
            <w:r w:rsidR="00183F03" w:rsidRPr="00033102">
              <w:rPr>
                <w:sz w:val="20"/>
                <w:szCs w:val="20"/>
                <w:lang w:val="fr-FR"/>
              </w:rPr>
              <w:t xml:space="preserve"> </w:t>
            </w:r>
          </w:p>
          <w:p w14:paraId="32CE1AE4" w14:textId="77777777" w:rsidR="00183F03" w:rsidRPr="00BB4B1A" w:rsidRDefault="00033102" w:rsidP="00BA67CE">
            <w:pPr>
              <w:pStyle w:val="ListParagraph"/>
              <w:numPr>
                <w:ilvl w:val="0"/>
                <w:numId w:val="38"/>
              </w:numPr>
              <w:rPr>
                <w:sz w:val="20"/>
                <w:szCs w:val="20"/>
                <w:lang w:val="fr-FR"/>
              </w:rPr>
            </w:pPr>
            <w:r>
              <w:rPr>
                <w:sz w:val="20"/>
                <w:szCs w:val="20"/>
                <w:lang w:val="fr-FR"/>
              </w:rPr>
              <w:t>Documentation q</w:t>
            </w:r>
            <w:r w:rsidR="00183F03" w:rsidRPr="00BB4B1A">
              <w:rPr>
                <w:sz w:val="20"/>
                <w:szCs w:val="20"/>
                <w:lang w:val="fr-FR"/>
              </w:rPr>
              <w:t xml:space="preserve">ualitative </w:t>
            </w:r>
            <w:r>
              <w:rPr>
                <w:sz w:val="20"/>
                <w:szCs w:val="20"/>
                <w:lang w:val="fr-FR"/>
              </w:rPr>
              <w:t>des progrès, des résultats et des leçons tirées</w:t>
            </w:r>
            <w:r w:rsidR="00183F03" w:rsidRPr="00BB4B1A">
              <w:rPr>
                <w:sz w:val="20"/>
                <w:szCs w:val="20"/>
                <w:lang w:val="fr-FR"/>
              </w:rPr>
              <w:t xml:space="preserve"> </w:t>
            </w:r>
          </w:p>
          <w:p w14:paraId="27EA5972" w14:textId="77777777" w:rsidR="00146CA0" w:rsidRPr="00BB4B1A" w:rsidRDefault="00033102" w:rsidP="00033102">
            <w:pPr>
              <w:pStyle w:val="ListParagraph"/>
              <w:numPr>
                <w:ilvl w:val="0"/>
                <w:numId w:val="38"/>
              </w:numPr>
              <w:rPr>
                <w:sz w:val="20"/>
                <w:szCs w:val="20"/>
                <w:lang w:val="fr-FR"/>
              </w:rPr>
            </w:pPr>
            <w:r>
              <w:rPr>
                <w:sz w:val="20"/>
                <w:szCs w:val="20"/>
                <w:lang w:val="fr-FR"/>
              </w:rPr>
              <w:t>Cinquième réunion des partenaires de l’IHP+ et des équipes nationales de santé ; réunions du Groupe consultatif des OSC</w:t>
            </w:r>
          </w:p>
        </w:tc>
        <w:tc>
          <w:tcPr>
            <w:tcW w:w="1763" w:type="dxa"/>
          </w:tcPr>
          <w:p w14:paraId="6476423A" w14:textId="77777777" w:rsidR="001F05F4" w:rsidRPr="00BB4B1A" w:rsidRDefault="001F05F4" w:rsidP="001F05F4">
            <w:pPr>
              <w:jc w:val="center"/>
              <w:rPr>
                <w:lang w:val="fr-FR"/>
              </w:rPr>
            </w:pPr>
          </w:p>
          <w:p w14:paraId="27D7A6C7" w14:textId="77777777" w:rsidR="001F05F4" w:rsidRPr="00BB4B1A" w:rsidRDefault="001F05F4" w:rsidP="001F05F4">
            <w:pPr>
              <w:jc w:val="center"/>
              <w:rPr>
                <w:lang w:val="fr-FR"/>
              </w:rPr>
            </w:pPr>
          </w:p>
          <w:p w14:paraId="1725F5DD" w14:textId="77777777" w:rsidR="001F05F4" w:rsidRPr="00BB4B1A" w:rsidRDefault="007A1665" w:rsidP="001F05F4">
            <w:pPr>
              <w:jc w:val="center"/>
              <w:rPr>
                <w:lang w:val="fr-FR"/>
              </w:rPr>
            </w:pPr>
            <w:r w:rsidRPr="00BB4B1A">
              <w:rPr>
                <w:lang w:val="fr-FR"/>
              </w:rPr>
              <w:t>1</w:t>
            </w:r>
            <w:r w:rsidR="00033102">
              <w:rPr>
                <w:lang w:val="fr-FR"/>
              </w:rPr>
              <w:t> </w:t>
            </w:r>
            <w:r w:rsidRPr="00BB4B1A">
              <w:rPr>
                <w:lang w:val="fr-FR"/>
              </w:rPr>
              <w:t>8</w:t>
            </w:r>
            <w:r w:rsidR="00E30749" w:rsidRPr="00BB4B1A">
              <w:rPr>
                <w:lang w:val="fr-FR"/>
              </w:rPr>
              <w:t>5</w:t>
            </w:r>
            <w:r w:rsidR="001F05F4" w:rsidRPr="00BB4B1A">
              <w:rPr>
                <w:lang w:val="fr-FR"/>
              </w:rPr>
              <w:t>0</w:t>
            </w:r>
            <w:r w:rsidR="00033102">
              <w:rPr>
                <w:lang w:val="fr-FR"/>
              </w:rPr>
              <w:t> </w:t>
            </w:r>
            <w:r w:rsidR="001F05F4" w:rsidRPr="00BB4B1A">
              <w:rPr>
                <w:lang w:val="fr-FR"/>
              </w:rPr>
              <w:t>000</w:t>
            </w:r>
          </w:p>
          <w:p w14:paraId="2655E366" w14:textId="77777777" w:rsidR="001F05F4" w:rsidRPr="00BB4B1A" w:rsidRDefault="001F05F4" w:rsidP="001F05F4">
            <w:pPr>
              <w:rPr>
                <w:b/>
                <w:lang w:val="fr-FR"/>
              </w:rPr>
            </w:pPr>
          </w:p>
        </w:tc>
      </w:tr>
      <w:tr w:rsidR="001F05F4" w:rsidRPr="00BB4B1A" w14:paraId="17164756" w14:textId="77777777" w:rsidTr="001C3262">
        <w:tc>
          <w:tcPr>
            <w:tcW w:w="959" w:type="dxa"/>
          </w:tcPr>
          <w:p w14:paraId="7B5DD2B4" w14:textId="77777777" w:rsidR="001F05F4" w:rsidRPr="00BB4B1A" w:rsidRDefault="001F05F4" w:rsidP="001F05F4">
            <w:pPr>
              <w:jc w:val="center"/>
              <w:rPr>
                <w:lang w:val="fr-FR"/>
              </w:rPr>
            </w:pPr>
          </w:p>
          <w:p w14:paraId="59693E6C" w14:textId="77777777" w:rsidR="001F05F4" w:rsidRPr="00BB4B1A" w:rsidRDefault="00C11487" w:rsidP="001F05F4">
            <w:pPr>
              <w:jc w:val="center"/>
              <w:rPr>
                <w:lang w:val="fr-FR"/>
              </w:rPr>
            </w:pPr>
            <w:r w:rsidRPr="00BB4B1A">
              <w:rPr>
                <w:lang w:val="fr-FR"/>
              </w:rPr>
              <w:t>D</w:t>
            </w:r>
          </w:p>
          <w:p w14:paraId="358C98F7" w14:textId="77777777" w:rsidR="001F05F4" w:rsidRPr="00BB4B1A" w:rsidRDefault="001F05F4" w:rsidP="001F05F4">
            <w:pPr>
              <w:jc w:val="center"/>
              <w:rPr>
                <w:lang w:val="fr-FR"/>
              </w:rPr>
            </w:pPr>
          </w:p>
        </w:tc>
        <w:tc>
          <w:tcPr>
            <w:tcW w:w="6520" w:type="dxa"/>
          </w:tcPr>
          <w:p w14:paraId="6DD50C80" w14:textId="77777777" w:rsidR="001F05F4" w:rsidRPr="00BB4B1A" w:rsidRDefault="00761DFC" w:rsidP="001F05F4">
            <w:pPr>
              <w:rPr>
                <w:b/>
                <w:lang w:val="fr-FR"/>
              </w:rPr>
            </w:pPr>
            <w:r w:rsidRPr="00033102">
              <w:rPr>
                <w:b/>
                <w:lang w:val="fr-FR"/>
              </w:rPr>
              <w:t>Supervision, op</w:t>
            </w:r>
            <w:r>
              <w:rPr>
                <w:b/>
                <w:lang w:val="fr-FR"/>
              </w:rPr>
              <w:t>é</w:t>
            </w:r>
            <w:r w:rsidRPr="00033102">
              <w:rPr>
                <w:b/>
                <w:lang w:val="fr-FR"/>
              </w:rPr>
              <w:t>rations et communications de l’</w:t>
            </w:r>
            <w:r>
              <w:rPr>
                <w:b/>
                <w:lang w:val="fr-FR"/>
              </w:rPr>
              <w:t>IHP</w:t>
            </w:r>
            <w:r w:rsidRPr="00033102">
              <w:rPr>
                <w:b/>
                <w:lang w:val="fr-FR"/>
              </w:rPr>
              <w:t>+</w:t>
            </w:r>
          </w:p>
          <w:p w14:paraId="214D835D" w14:textId="77777777" w:rsidR="00183F03" w:rsidRPr="00BB4B1A" w:rsidRDefault="00033102" w:rsidP="00033102">
            <w:pPr>
              <w:pStyle w:val="ListParagraph"/>
              <w:numPr>
                <w:ilvl w:val="0"/>
                <w:numId w:val="39"/>
              </w:numPr>
              <w:spacing w:after="200" w:line="276" w:lineRule="auto"/>
              <w:rPr>
                <w:sz w:val="20"/>
                <w:szCs w:val="20"/>
                <w:lang w:val="fr-FR"/>
              </w:rPr>
            </w:pPr>
            <w:r>
              <w:rPr>
                <w:sz w:val="20"/>
                <w:szCs w:val="20"/>
                <w:lang w:val="fr-FR"/>
              </w:rPr>
              <w:t xml:space="preserve">Réunions du </w:t>
            </w:r>
            <w:r w:rsidRPr="00033102">
              <w:rPr>
                <w:sz w:val="20"/>
                <w:szCs w:val="20"/>
                <w:lang w:val="fr-FR"/>
              </w:rPr>
              <w:t xml:space="preserve">Comité directeur et </w:t>
            </w:r>
            <w:r>
              <w:rPr>
                <w:sz w:val="20"/>
                <w:szCs w:val="20"/>
                <w:lang w:val="fr-FR"/>
              </w:rPr>
              <w:t>d’</w:t>
            </w:r>
            <w:r w:rsidRPr="00033102">
              <w:rPr>
                <w:sz w:val="20"/>
                <w:szCs w:val="20"/>
                <w:lang w:val="fr-FR"/>
              </w:rPr>
              <w:t xml:space="preserve">autres organes de </w:t>
            </w:r>
            <w:r>
              <w:rPr>
                <w:sz w:val="20"/>
                <w:szCs w:val="20"/>
                <w:lang w:val="fr-FR"/>
              </w:rPr>
              <w:t xml:space="preserve">gestion de </w:t>
            </w:r>
            <w:r w:rsidRPr="00033102">
              <w:rPr>
                <w:sz w:val="20"/>
                <w:szCs w:val="20"/>
                <w:lang w:val="fr-FR"/>
              </w:rPr>
              <w:t>l’IHP+</w:t>
            </w:r>
          </w:p>
          <w:p w14:paraId="35B539D0" w14:textId="77777777" w:rsidR="00884115" w:rsidRPr="00BB4B1A" w:rsidRDefault="00033102" w:rsidP="00033102">
            <w:pPr>
              <w:pStyle w:val="ListParagraph"/>
              <w:numPr>
                <w:ilvl w:val="0"/>
                <w:numId w:val="39"/>
              </w:numPr>
              <w:spacing w:after="200" w:line="276" w:lineRule="auto"/>
              <w:rPr>
                <w:sz w:val="20"/>
                <w:szCs w:val="20"/>
                <w:lang w:val="fr-FR"/>
              </w:rPr>
            </w:pPr>
            <w:r>
              <w:rPr>
                <w:sz w:val="20"/>
                <w:szCs w:val="20"/>
                <w:lang w:val="fr-FR"/>
              </w:rPr>
              <w:t>Suivi par l’É</w:t>
            </w:r>
            <w:r w:rsidRPr="00033102">
              <w:rPr>
                <w:sz w:val="20"/>
                <w:szCs w:val="20"/>
                <w:lang w:val="fr-FR"/>
              </w:rPr>
              <w:t>quipe de base des progrès sur les résultats convenus</w:t>
            </w:r>
          </w:p>
          <w:p w14:paraId="0477AECB" w14:textId="77777777" w:rsidR="00884115" w:rsidRPr="00BB4B1A" w:rsidRDefault="00033102" w:rsidP="00033102">
            <w:pPr>
              <w:pStyle w:val="ListParagraph"/>
              <w:numPr>
                <w:ilvl w:val="0"/>
                <w:numId w:val="39"/>
              </w:numPr>
              <w:spacing w:after="200" w:line="276" w:lineRule="auto"/>
              <w:rPr>
                <w:lang w:val="fr-FR"/>
              </w:rPr>
            </w:pPr>
            <w:r>
              <w:rPr>
                <w:sz w:val="20"/>
                <w:szCs w:val="20"/>
                <w:lang w:val="fr-FR"/>
              </w:rPr>
              <w:t>Fonctionnement de l’Équipe de base de l’</w:t>
            </w:r>
            <w:r w:rsidR="00183F03" w:rsidRPr="00BB4B1A">
              <w:rPr>
                <w:sz w:val="20"/>
                <w:szCs w:val="20"/>
                <w:lang w:val="fr-FR"/>
              </w:rPr>
              <w:t>I</w:t>
            </w:r>
            <w:r w:rsidR="001F05F4" w:rsidRPr="00BB4B1A">
              <w:rPr>
                <w:sz w:val="20"/>
                <w:szCs w:val="20"/>
                <w:lang w:val="fr-FR"/>
              </w:rPr>
              <w:t xml:space="preserve">HP+ </w:t>
            </w:r>
          </w:p>
        </w:tc>
        <w:tc>
          <w:tcPr>
            <w:tcW w:w="1763" w:type="dxa"/>
          </w:tcPr>
          <w:p w14:paraId="7E794722" w14:textId="77777777" w:rsidR="001F05F4" w:rsidRPr="00BB4B1A" w:rsidRDefault="001F05F4" w:rsidP="001F05F4">
            <w:pPr>
              <w:jc w:val="center"/>
              <w:rPr>
                <w:lang w:val="fr-FR"/>
              </w:rPr>
            </w:pPr>
          </w:p>
          <w:p w14:paraId="0DAAD5B2" w14:textId="77777777" w:rsidR="001F05F4" w:rsidRPr="00BB4B1A" w:rsidRDefault="001F05F4" w:rsidP="001F05F4">
            <w:pPr>
              <w:jc w:val="center"/>
              <w:rPr>
                <w:lang w:val="fr-FR"/>
              </w:rPr>
            </w:pPr>
          </w:p>
          <w:p w14:paraId="6DD4C855" w14:textId="77777777" w:rsidR="001F05F4" w:rsidRPr="00BB4B1A" w:rsidRDefault="001F05F4" w:rsidP="00033102">
            <w:pPr>
              <w:jc w:val="center"/>
              <w:rPr>
                <w:lang w:val="fr-FR"/>
              </w:rPr>
            </w:pPr>
            <w:r w:rsidRPr="00BB4B1A">
              <w:rPr>
                <w:lang w:val="fr-FR"/>
              </w:rPr>
              <w:t>3</w:t>
            </w:r>
            <w:r w:rsidR="00033102">
              <w:rPr>
                <w:lang w:val="fr-FR"/>
              </w:rPr>
              <w:t> </w:t>
            </w:r>
            <w:r w:rsidR="007A1665" w:rsidRPr="00BB4B1A">
              <w:rPr>
                <w:lang w:val="fr-FR"/>
              </w:rPr>
              <w:t>0</w:t>
            </w:r>
            <w:r w:rsidRPr="00BB4B1A">
              <w:rPr>
                <w:lang w:val="fr-FR"/>
              </w:rPr>
              <w:t>00</w:t>
            </w:r>
            <w:r w:rsidR="00033102">
              <w:rPr>
                <w:lang w:val="fr-FR"/>
              </w:rPr>
              <w:t> </w:t>
            </w:r>
            <w:r w:rsidRPr="00BB4B1A">
              <w:rPr>
                <w:lang w:val="fr-FR"/>
              </w:rPr>
              <w:t>000</w:t>
            </w:r>
          </w:p>
        </w:tc>
      </w:tr>
      <w:tr w:rsidR="001F05F4" w:rsidRPr="00BB4B1A" w14:paraId="1E52491E" w14:textId="77777777" w:rsidTr="001C3262">
        <w:tc>
          <w:tcPr>
            <w:tcW w:w="959" w:type="dxa"/>
          </w:tcPr>
          <w:p w14:paraId="4CBB7BCB" w14:textId="77777777" w:rsidR="001F05F4" w:rsidRPr="00BB4B1A" w:rsidRDefault="001F05F4" w:rsidP="001F05F4">
            <w:pPr>
              <w:rPr>
                <w:b/>
                <w:lang w:val="fr-FR"/>
              </w:rPr>
            </w:pPr>
          </w:p>
          <w:p w14:paraId="4F88F482" w14:textId="77777777" w:rsidR="001F05F4" w:rsidRPr="00BB4B1A" w:rsidRDefault="001F05F4" w:rsidP="001F05F4">
            <w:pPr>
              <w:rPr>
                <w:b/>
                <w:lang w:val="fr-FR"/>
              </w:rPr>
            </w:pPr>
            <w:r w:rsidRPr="00BB4B1A">
              <w:rPr>
                <w:b/>
                <w:lang w:val="fr-FR"/>
              </w:rPr>
              <w:t>TOTAL</w:t>
            </w:r>
          </w:p>
          <w:p w14:paraId="5419104B" w14:textId="77777777" w:rsidR="001F05F4" w:rsidRPr="00BB4B1A" w:rsidRDefault="001F05F4" w:rsidP="001F05F4">
            <w:pPr>
              <w:rPr>
                <w:b/>
                <w:lang w:val="fr-FR"/>
              </w:rPr>
            </w:pPr>
          </w:p>
        </w:tc>
        <w:tc>
          <w:tcPr>
            <w:tcW w:w="6520" w:type="dxa"/>
          </w:tcPr>
          <w:p w14:paraId="6092EAC1" w14:textId="77777777" w:rsidR="001F05F4" w:rsidRPr="00BB4B1A" w:rsidRDefault="001F05F4" w:rsidP="001F05F4">
            <w:pPr>
              <w:rPr>
                <w:b/>
                <w:lang w:val="fr-FR"/>
              </w:rPr>
            </w:pPr>
          </w:p>
        </w:tc>
        <w:tc>
          <w:tcPr>
            <w:tcW w:w="1763" w:type="dxa"/>
          </w:tcPr>
          <w:p w14:paraId="7F44E253" w14:textId="77777777" w:rsidR="001F05F4" w:rsidRPr="00BB4B1A" w:rsidRDefault="001F05F4" w:rsidP="001F05F4">
            <w:pPr>
              <w:jc w:val="center"/>
              <w:rPr>
                <w:lang w:val="fr-FR"/>
              </w:rPr>
            </w:pPr>
          </w:p>
          <w:p w14:paraId="10AB7FCB" w14:textId="77777777" w:rsidR="001F05F4" w:rsidRPr="00BB4B1A" w:rsidRDefault="001F05F4" w:rsidP="00033102">
            <w:pPr>
              <w:jc w:val="center"/>
              <w:rPr>
                <w:lang w:val="fr-FR"/>
              </w:rPr>
            </w:pPr>
            <w:r w:rsidRPr="00BB4B1A">
              <w:rPr>
                <w:lang w:val="fr-FR"/>
              </w:rPr>
              <w:t>9</w:t>
            </w:r>
            <w:r w:rsidR="00033102">
              <w:rPr>
                <w:lang w:val="fr-FR"/>
              </w:rPr>
              <w:t> </w:t>
            </w:r>
            <w:r w:rsidR="00E30749" w:rsidRPr="00BB4B1A">
              <w:rPr>
                <w:lang w:val="fr-FR"/>
              </w:rPr>
              <w:t>5</w:t>
            </w:r>
            <w:r w:rsidRPr="00BB4B1A">
              <w:rPr>
                <w:lang w:val="fr-FR"/>
              </w:rPr>
              <w:t>00</w:t>
            </w:r>
            <w:r w:rsidR="00033102">
              <w:rPr>
                <w:lang w:val="fr-FR"/>
              </w:rPr>
              <w:t> </w:t>
            </w:r>
            <w:r w:rsidRPr="00BB4B1A">
              <w:rPr>
                <w:lang w:val="fr-FR"/>
              </w:rPr>
              <w:t>000</w:t>
            </w:r>
          </w:p>
        </w:tc>
      </w:tr>
    </w:tbl>
    <w:p w14:paraId="55CBCA7B" w14:textId="77777777" w:rsidR="001F05F4" w:rsidRPr="00BB4B1A" w:rsidRDefault="001F05F4" w:rsidP="00A20B92">
      <w:pPr>
        <w:rPr>
          <w:b/>
          <w:lang w:val="fr-FR"/>
        </w:rPr>
      </w:pPr>
    </w:p>
    <w:sectPr w:rsidR="001F05F4" w:rsidRPr="00BB4B1A" w:rsidSect="00DC4C77">
      <w:footerReference w:type="default" r:id="rId9"/>
      <w:headerReference w:type="first" r:id="rId10"/>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BDE07" w14:textId="77777777" w:rsidR="00DF030D" w:rsidRDefault="00DF030D" w:rsidP="00EF098B">
      <w:pPr>
        <w:spacing w:after="0" w:line="240" w:lineRule="auto"/>
      </w:pPr>
      <w:r>
        <w:separator/>
      </w:r>
    </w:p>
  </w:endnote>
  <w:endnote w:type="continuationSeparator" w:id="0">
    <w:p w14:paraId="15DA17AD" w14:textId="77777777" w:rsidR="00DF030D" w:rsidRDefault="00DF030D" w:rsidP="00EF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160630"/>
      <w:docPartObj>
        <w:docPartGallery w:val="Page Numbers (Bottom of Page)"/>
        <w:docPartUnique/>
      </w:docPartObj>
    </w:sdtPr>
    <w:sdtEndPr>
      <w:rPr>
        <w:noProof/>
      </w:rPr>
    </w:sdtEndPr>
    <w:sdtContent>
      <w:p w14:paraId="088B6BA8" w14:textId="77777777" w:rsidR="009C3FC8" w:rsidRDefault="00271914">
        <w:pPr>
          <w:pStyle w:val="Footer"/>
          <w:jc w:val="center"/>
        </w:pPr>
        <w:r>
          <w:fldChar w:fldCharType="begin"/>
        </w:r>
        <w:r>
          <w:instrText xml:space="preserve"> PAGE   \* MERGEFORMAT </w:instrText>
        </w:r>
        <w:r>
          <w:fldChar w:fldCharType="separate"/>
        </w:r>
        <w:r w:rsidR="00717705">
          <w:rPr>
            <w:noProof/>
          </w:rPr>
          <w:t>2</w:t>
        </w:r>
        <w:r>
          <w:rPr>
            <w:noProof/>
          </w:rPr>
          <w:fldChar w:fldCharType="end"/>
        </w:r>
      </w:p>
    </w:sdtContent>
  </w:sdt>
  <w:p w14:paraId="67ADB3D1" w14:textId="77777777" w:rsidR="009C3FC8" w:rsidRDefault="009C3F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3AE93" w14:textId="77777777" w:rsidR="00DF030D" w:rsidRDefault="00DF030D" w:rsidP="00EF098B">
      <w:pPr>
        <w:spacing w:after="0" w:line="240" w:lineRule="auto"/>
      </w:pPr>
      <w:r>
        <w:separator/>
      </w:r>
    </w:p>
  </w:footnote>
  <w:footnote w:type="continuationSeparator" w:id="0">
    <w:p w14:paraId="178EB42F" w14:textId="77777777" w:rsidR="00DF030D" w:rsidRDefault="00DF030D" w:rsidP="00EF09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85D00" w14:textId="77777777" w:rsidR="009C3FC8" w:rsidRDefault="009C3FC8">
    <w:pPr>
      <w:pStyle w:val="Header"/>
    </w:pPr>
    <w:r>
      <w:rPr>
        <w:noProof/>
        <w:sz w:val="24"/>
        <w:szCs w:val="24"/>
        <w:lang w:val="en-US"/>
      </w:rPr>
      <w:drawing>
        <wp:anchor distT="36576" distB="36576" distL="36576" distR="36576" simplePos="0" relativeHeight="251659264" behindDoc="0" locked="0" layoutInCell="1" allowOverlap="1" wp14:anchorId="7FE4F2F3" wp14:editId="0D4943D9">
          <wp:simplePos x="0" y="0"/>
          <wp:positionH relativeFrom="column">
            <wp:posOffset>-50165</wp:posOffset>
          </wp:positionH>
          <wp:positionV relativeFrom="paragraph">
            <wp:posOffset>-128905</wp:posOffset>
          </wp:positionV>
          <wp:extent cx="1163955" cy="488950"/>
          <wp:effectExtent l="0" t="0" r="0" b="6350"/>
          <wp:wrapNone/>
          <wp:docPr id="1" name="Picture 2" descr="ihp_logo_BlueGree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p_logo_BlueGreen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955" cy="488950"/>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5FF"/>
    <w:multiLevelType w:val="hybridMultilevel"/>
    <w:tmpl w:val="BC60493A"/>
    <w:lvl w:ilvl="0" w:tplc="0409000B">
      <w:start w:val="1"/>
      <w:numFmt w:val="bullet"/>
      <w:lvlText w:val=""/>
      <w:lvlJc w:val="left"/>
      <w:pPr>
        <w:ind w:left="1074" w:hanging="360"/>
      </w:pPr>
      <w:rPr>
        <w:rFonts w:ascii="Wingdings" w:hAnsi="Wingdings"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nsid w:val="0A830654"/>
    <w:multiLevelType w:val="hybridMultilevel"/>
    <w:tmpl w:val="014ADAD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66545"/>
    <w:multiLevelType w:val="hybridMultilevel"/>
    <w:tmpl w:val="9EF6B9A0"/>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B7496F"/>
    <w:multiLevelType w:val="multilevel"/>
    <w:tmpl w:val="EB466BEE"/>
    <w:lvl w:ilvl="0">
      <w:start w:val="1"/>
      <w:numFmt w:val="decimal"/>
      <w:lvlText w:val="%1."/>
      <w:lvlJc w:val="left"/>
      <w:pPr>
        <w:ind w:left="1080" w:hanging="360"/>
      </w:pPr>
      <w:rPr>
        <w:rFonts w:hint="default"/>
      </w:rPr>
    </w:lvl>
    <w:lvl w:ilvl="1">
      <w:start w:val="1"/>
      <w:numFmt w:val="bullet"/>
      <w:lvlText w:val=""/>
      <w:lvlJc w:val="left"/>
      <w:pPr>
        <w:ind w:left="1440" w:hanging="720"/>
      </w:pPr>
      <w:rPr>
        <w:rFonts w:ascii="Wingdings" w:hAnsi="Wingding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0FC05D02"/>
    <w:multiLevelType w:val="hybridMultilevel"/>
    <w:tmpl w:val="B65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360E5"/>
    <w:multiLevelType w:val="hybridMultilevel"/>
    <w:tmpl w:val="BE54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DA3957"/>
    <w:multiLevelType w:val="multilevel"/>
    <w:tmpl w:val="EB829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BF060B"/>
    <w:multiLevelType w:val="hybridMultilevel"/>
    <w:tmpl w:val="F780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162E22"/>
    <w:multiLevelType w:val="hybridMultilevel"/>
    <w:tmpl w:val="F8E2B5C2"/>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7AB3CF3"/>
    <w:multiLevelType w:val="hybridMultilevel"/>
    <w:tmpl w:val="E4841B7E"/>
    <w:lvl w:ilvl="0" w:tplc="08090011">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041611"/>
    <w:multiLevelType w:val="hybridMultilevel"/>
    <w:tmpl w:val="E560597A"/>
    <w:lvl w:ilvl="0" w:tplc="07245E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C21936"/>
    <w:multiLevelType w:val="hybridMultilevel"/>
    <w:tmpl w:val="48E636CA"/>
    <w:lvl w:ilvl="0" w:tplc="4E20B4EC">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2E016B"/>
    <w:multiLevelType w:val="hybridMultilevel"/>
    <w:tmpl w:val="7DBCFA74"/>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5F5A0C"/>
    <w:multiLevelType w:val="hybridMultilevel"/>
    <w:tmpl w:val="A0021940"/>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BD7883"/>
    <w:multiLevelType w:val="hybridMultilevel"/>
    <w:tmpl w:val="2B32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220954"/>
    <w:multiLevelType w:val="hybridMultilevel"/>
    <w:tmpl w:val="0FEE9AD2"/>
    <w:lvl w:ilvl="0" w:tplc="04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384B79"/>
    <w:multiLevelType w:val="multilevel"/>
    <w:tmpl w:val="3FDE86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1D26FD7"/>
    <w:multiLevelType w:val="multilevel"/>
    <w:tmpl w:val="B878511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CC16E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931AC1"/>
    <w:multiLevelType w:val="hybridMultilevel"/>
    <w:tmpl w:val="08A0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E90A75"/>
    <w:multiLevelType w:val="hybridMultilevel"/>
    <w:tmpl w:val="EAB240C2"/>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7EC5A48"/>
    <w:multiLevelType w:val="hybridMultilevel"/>
    <w:tmpl w:val="89CA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274FD9"/>
    <w:multiLevelType w:val="hybridMultilevel"/>
    <w:tmpl w:val="D4A0B326"/>
    <w:lvl w:ilvl="0" w:tplc="08090015">
      <w:start w:val="1"/>
      <w:numFmt w:val="upperLetter"/>
      <w:lvlText w:val="%1."/>
      <w:lvlJc w:val="left"/>
      <w:pPr>
        <w:ind w:left="360" w:hanging="360"/>
      </w:pPr>
      <w:rPr>
        <w:rFonts w:hint="default"/>
      </w:rPr>
    </w:lvl>
    <w:lvl w:ilvl="1" w:tplc="0A7A5B1E">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917695"/>
    <w:multiLevelType w:val="hybridMultilevel"/>
    <w:tmpl w:val="E592AF92"/>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CD67C1A"/>
    <w:multiLevelType w:val="hybridMultilevel"/>
    <w:tmpl w:val="A63249AA"/>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D306ED9"/>
    <w:multiLevelType w:val="hybridMultilevel"/>
    <w:tmpl w:val="A502BA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0C54DAD"/>
    <w:multiLevelType w:val="hybridMultilevel"/>
    <w:tmpl w:val="CA56F2D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3430F6"/>
    <w:multiLevelType w:val="hybridMultilevel"/>
    <w:tmpl w:val="F13AE5CE"/>
    <w:lvl w:ilvl="0" w:tplc="04090005">
      <w:start w:val="1"/>
      <w:numFmt w:val="bullet"/>
      <w:lvlText w:val=""/>
      <w:lvlJc w:val="left"/>
      <w:pPr>
        <w:ind w:left="720" w:hanging="360"/>
      </w:pPr>
      <w:rPr>
        <w:rFonts w:ascii="Wingdings" w:hAnsi="Wingding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EB389A"/>
    <w:multiLevelType w:val="multilevel"/>
    <w:tmpl w:val="E7E6E8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4730CBA"/>
    <w:multiLevelType w:val="hybridMultilevel"/>
    <w:tmpl w:val="F7227990"/>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8493D74"/>
    <w:multiLevelType w:val="hybridMultilevel"/>
    <w:tmpl w:val="9C4A6D56"/>
    <w:lvl w:ilvl="0" w:tplc="0409000B">
      <w:start w:val="1"/>
      <w:numFmt w:val="bullet"/>
      <w:lvlText w:val=""/>
      <w:lvlJc w:val="left"/>
      <w:pPr>
        <w:ind w:left="1074" w:hanging="360"/>
      </w:pPr>
      <w:rPr>
        <w:rFonts w:ascii="Wingdings" w:hAnsi="Wingdings"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1">
    <w:nsid w:val="5C53234F"/>
    <w:multiLevelType w:val="hybridMultilevel"/>
    <w:tmpl w:val="56E894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4A6446"/>
    <w:multiLevelType w:val="hybridMultilevel"/>
    <w:tmpl w:val="CD6A0D22"/>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0557520"/>
    <w:multiLevelType w:val="hybridMultilevel"/>
    <w:tmpl w:val="70C800D4"/>
    <w:lvl w:ilvl="0" w:tplc="031E0E88">
      <w:start w:val="1"/>
      <w:numFmt w:val="decimal"/>
      <w:lvlText w:val="%1."/>
      <w:lvlJc w:val="left"/>
      <w:pPr>
        <w:ind w:left="360" w:hanging="360"/>
      </w:pPr>
      <w:rPr>
        <w:rFonts w:asciiTheme="minorHAnsi" w:eastAsiaTheme="minorEastAsia" w:hAnsiTheme="minorHAnsi"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4C941FE"/>
    <w:multiLevelType w:val="hybridMultilevel"/>
    <w:tmpl w:val="F912C06C"/>
    <w:lvl w:ilvl="0" w:tplc="04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6DB2F6D"/>
    <w:multiLevelType w:val="hybridMultilevel"/>
    <w:tmpl w:val="573A9F7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AD5544"/>
    <w:multiLevelType w:val="hybridMultilevel"/>
    <w:tmpl w:val="245C57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BF4FBB"/>
    <w:multiLevelType w:val="hybridMultilevel"/>
    <w:tmpl w:val="12E40962"/>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FC57FE6"/>
    <w:multiLevelType w:val="hybridMultilevel"/>
    <w:tmpl w:val="97563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
  </w:num>
  <w:num w:numId="3">
    <w:abstractNumId w:val="16"/>
  </w:num>
  <w:num w:numId="4">
    <w:abstractNumId w:val="0"/>
  </w:num>
  <w:num w:numId="5">
    <w:abstractNumId w:val="26"/>
  </w:num>
  <w:num w:numId="6">
    <w:abstractNumId w:val="32"/>
  </w:num>
  <w:num w:numId="7">
    <w:abstractNumId w:val="5"/>
  </w:num>
  <w:num w:numId="8">
    <w:abstractNumId w:val="7"/>
  </w:num>
  <w:num w:numId="9">
    <w:abstractNumId w:val="18"/>
  </w:num>
  <w:num w:numId="10">
    <w:abstractNumId w:val="34"/>
  </w:num>
  <w:num w:numId="11">
    <w:abstractNumId w:val="6"/>
  </w:num>
  <w:num w:numId="12">
    <w:abstractNumId w:val="30"/>
  </w:num>
  <w:num w:numId="13">
    <w:abstractNumId w:val="35"/>
  </w:num>
  <w:num w:numId="14">
    <w:abstractNumId w:val="23"/>
  </w:num>
  <w:num w:numId="15">
    <w:abstractNumId w:val="20"/>
  </w:num>
  <w:num w:numId="16">
    <w:abstractNumId w:val="21"/>
  </w:num>
  <w:num w:numId="17">
    <w:abstractNumId w:val="14"/>
  </w:num>
  <w:num w:numId="18">
    <w:abstractNumId w:val="4"/>
  </w:num>
  <w:num w:numId="19">
    <w:abstractNumId w:val="13"/>
  </w:num>
  <w:num w:numId="20">
    <w:abstractNumId w:val="22"/>
  </w:num>
  <w:num w:numId="21">
    <w:abstractNumId w:val="10"/>
  </w:num>
  <w:num w:numId="22">
    <w:abstractNumId w:val="36"/>
  </w:num>
  <w:num w:numId="23">
    <w:abstractNumId w:val="38"/>
  </w:num>
  <w:num w:numId="24">
    <w:abstractNumId w:val="24"/>
  </w:num>
  <w:num w:numId="25">
    <w:abstractNumId w:val="12"/>
  </w:num>
  <w:num w:numId="26">
    <w:abstractNumId w:val="19"/>
  </w:num>
  <w:num w:numId="27">
    <w:abstractNumId w:val="31"/>
  </w:num>
  <w:num w:numId="28">
    <w:abstractNumId w:val="2"/>
  </w:num>
  <w:num w:numId="29">
    <w:abstractNumId w:val="9"/>
  </w:num>
  <w:num w:numId="30">
    <w:abstractNumId w:val="27"/>
  </w:num>
  <w:num w:numId="31">
    <w:abstractNumId w:val="11"/>
  </w:num>
  <w:num w:numId="32">
    <w:abstractNumId w:val="15"/>
  </w:num>
  <w:num w:numId="33">
    <w:abstractNumId w:val="8"/>
  </w:num>
  <w:num w:numId="34">
    <w:abstractNumId w:val="37"/>
  </w:num>
  <w:num w:numId="35">
    <w:abstractNumId w:val="1"/>
  </w:num>
  <w:num w:numId="36">
    <w:abstractNumId w:val="29"/>
  </w:num>
  <w:num w:numId="37">
    <w:abstractNumId w:val="17"/>
  </w:num>
  <w:num w:numId="38">
    <w:abstractNumId w:val="33"/>
  </w:num>
  <w:num w:numId="3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03FEB"/>
    <w:rsid w:val="00002133"/>
    <w:rsid w:val="00002688"/>
    <w:rsid w:val="00020E01"/>
    <w:rsid w:val="000228FB"/>
    <w:rsid w:val="0002335C"/>
    <w:rsid w:val="00033102"/>
    <w:rsid w:val="00037E1C"/>
    <w:rsid w:val="0004736A"/>
    <w:rsid w:val="00050BD4"/>
    <w:rsid w:val="000510A5"/>
    <w:rsid w:val="0005738A"/>
    <w:rsid w:val="00057A3E"/>
    <w:rsid w:val="0006349B"/>
    <w:rsid w:val="00064990"/>
    <w:rsid w:val="00066422"/>
    <w:rsid w:val="00073A78"/>
    <w:rsid w:val="00075789"/>
    <w:rsid w:val="000771AD"/>
    <w:rsid w:val="000A2A41"/>
    <w:rsid w:val="000A7173"/>
    <w:rsid w:val="000B07BC"/>
    <w:rsid w:val="000B0F76"/>
    <w:rsid w:val="000C50F2"/>
    <w:rsid w:val="000C6E3D"/>
    <w:rsid w:val="000D6B08"/>
    <w:rsid w:val="000D70CA"/>
    <w:rsid w:val="000E0B9C"/>
    <w:rsid w:val="000E16BB"/>
    <w:rsid w:val="000E1D1F"/>
    <w:rsid w:val="000E4D3C"/>
    <w:rsid w:val="000E5AE3"/>
    <w:rsid w:val="000F0CA2"/>
    <w:rsid w:val="00107631"/>
    <w:rsid w:val="001210D9"/>
    <w:rsid w:val="001237BC"/>
    <w:rsid w:val="00125315"/>
    <w:rsid w:val="001314AE"/>
    <w:rsid w:val="0013459B"/>
    <w:rsid w:val="00136649"/>
    <w:rsid w:val="00140A26"/>
    <w:rsid w:val="00143F16"/>
    <w:rsid w:val="00146CA0"/>
    <w:rsid w:val="00151B5E"/>
    <w:rsid w:val="00155269"/>
    <w:rsid w:val="0016107B"/>
    <w:rsid w:val="001622A3"/>
    <w:rsid w:val="00166D78"/>
    <w:rsid w:val="001712EB"/>
    <w:rsid w:val="0017302C"/>
    <w:rsid w:val="00181C57"/>
    <w:rsid w:val="00183F03"/>
    <w:rsid w:val="00186A47"/>
    <w:rsid w:val="0018729B"/>
    <w:rsid w:val="00190164"/>
    <w:rsid w:val="00191600"/>
    <w:rsid w:val="00191CAD"/>
    <w:rsid w:val="00192E08"/>
    <w:rsid w:val="00193C5A"/>
    <w:rsid w:val="001A1ADF"/>
    <w:rsid w:val="001A42E4"/>
    <w:rsid w:val="001A444A"/>
    <w:rsid w:val="001B3A71"/>
    <w:rsid w:val="001C1F2B"/>
    <w:rsid w:val="001C25E8"/>
    <w:rsid w:val="001C3262"/>
    <w:rsid w:val="001D0C9C"/>
    <w:rsid w:val="001E09F3"/>
    <w:rsid w:val="001E72A6"/>
    <w:rsid w:val="001E745A"/>
    <w:rsid w:val="001F05F4"/>
    <w:rsid w:val="001F0605"/>
    <w:rsid w:val="001F30B2"/>
    <w:rsid w:val="001F3A64"/>
    <w:rsid w:val="002060D3"/>
    <w:rsid w:val="002205F7"/>
    <w:rsid w:val="00220FAF"/>
    <w:rsid w:val="0022525F"/>
    <w:rsid w:val="00240292"/>
    <w:rsid w:val="00241E59"/>
    <w:rsid w:val="00243419"/>
    <w:rsid w:val="00250349"/>
    <w:rsid w:val="002514C7"/>
    <w:rsid w:val="00254FF3"/>
    <w:rsid w:val="00255831"/>
    <w:rsid w:val="0026759F"/>
    <w:rsid w:val="00271914"/>
    <w:rsid w:val="00275A70"/>
    <w:rsid w:val="00282334"/>
    <w:rsid w:val="00284E7D"/>
    <w:rsid w:val="00286C35"/>
    <w:rsid w:val="00295B05"/>
    <w:rsid w:val="00297A0A"/>
    <w:rsid w:val="002A074C"/>
    <w:rsid w:val="002B0A0D"/>
    <w:rsid w:val="002B5286"/>
    <w:rsid w:val="002B5A9B"/>
    <w:rsid w:val="002C113D"/>
    <w:rsid w:val="002C449E"/>
    <w:rsid w:val="002D633A"/>
    <w:rsid w:val="002E0C2E"/>
    <w:rsid w:val="002E2A50"/>
    <w:rsid w:val="002E31EF"/>
    <w:rsid w:val="002F1DB2"/>
    <w:rsid w:val="002F322F"/>
    <w:rsid w:val="002F5B19"/>
    <w:rsid w:val="00301BCE"/>
    <w:rsid w:val="00303A50"/>
    <w:rsid w:val="003077C0"/>
    <w:rsid w:val="00314D10"/>
    <w:rsid w:val="003150E6"/>
    <w:rsid w:val="00336EE5"/>
    <w:rsid w:val="0034196A"/>
    <w:rsid w:val="0034289F"/>
    <w:rsid w:val="0034792F"/>
    <w:rsid w:val="0035009B"/>
    <w:rsid w:val="00354EFE"/>
    <w:rsid w:val="00355179"/>
    <w:rsid w:val="003659FB"/>
    <w:rsid w:val="00366CE1"/>
    <w:rsid w:val="00374480"/>
    <w:rsid w:val="003825F3"/>
    <w:rsid w:val="00385223"/>
    <w:rsid w:val="00386BA4"/>
    <w:rsid w:val="0038726E"/>
    <w:rsid w:val="003905DA"/>
    <w:rsid w:val="00395DAC"/>
    <w:rsid w:val="003A060F"/>
    <w:rsid w:val="003A1C52"/>
    <w:rsid w:val="003A3E53"/>
    <w:rsid w:val="003B00E8"/>
    <w:rsid w:val="003B11BF"/>
    <w:rsid w:val="003C4102"/>
    <w:rsid w:val="003C58EF"/>
    <w:rsid w:val="003C64B2"/>
    <w:rsid w:val="003D187A"/>
    <w:rsid w:val="003D60F5"/>
    <w:rsid w:val="003F061D"/>
    <w:rsid w:val="003F1707"/>
    <w:rsid w:val="003F1A16"/>
    <w:rsid w:val="003F3B21"/>
    <w:rsid w:val="003F5778"/>
    <w:rsid w:val="0040659C"/>
    <w:rsid w:val="00412D18"/>
    <w:rsid w:val="00413931"/>
    <w:rsid w:val="0041724A"/>
    <w:rsid w:val="00423B9A"/>
    <w:rsid w:val="00424389"/>
    <w:rsid w:val="00430E96"/>
    <w:rsid w:val="00435558"/>
    <w:rsid w:val="004407EF"/>
    <w:rsid w:val="004436D7"/>
    <w:rsid w:val="004459A7"/>
    <w:rsid w:val="00451A7A"/>
    <w:rsid w:val="004524EE"/>
    <w:rsid w:val="00453430"/>
    <w:rsid w:val="00453B74"/>
    <w:rsid w:val="004564D6"/>
    <w:rsid w:val="00461126"/>
    <w:rsid w:val="00461895"/>
    <w:rsid w:val="00462464"/>
    <w:rsid w:val="0048458D"/>
    <w:rsid w:val="004863AD"/>
    <w:rsid w:val="00486DE5"/>
    <w:rsid w:val="00496A3B"/>
    <w:rsid w:val="004A38C6"/>
    <w:rsid w:val="004B2FDC"/>
    <w:rsid w:val="004B5027"/>
    <w:rsid w:val="004B7DC0"/>
    <w:rsid w:val="004C48DE"/>
    <w:rsid w:val="004C5A76"/>
    <w:rsid w:val="004D4D96"/>
    <w:rsid w:val="004D56B8"/>
    <w:rsid w:val="004E1096"/>
    <w:rsid w:val="004E1944"/>
    <w:rsid w:val="004E2EAA"/>
    <w:rsid w:val="004E4D28"/>
    <w:rsid w:val="004F1BE1"/>
    <w:rsid w:val="004F22F3"/>
    <w:rsid w:val="004F686F"/>
    <w:rsid w:val="00503C51"/>
    <w:rsid w:val="00503F53"/>
    <w:rsid w:val="005042FE"/>
    <w:rsid w:val="00511430"/>
    <w:rsid w:val="00514426"/>
    <w:rsid w:val="005268D9"/>
    <w:rsid w:val="00531D8E"/>
    <w:rsid w:val="00533E04"/>
    <w:rsid w:val="005359C2"/>
    <w:rsid w:val="00541665"/>
    <w:rsid w:val="00541A11"/>
    <w:rsid w:val="00541C7E"/>
    <w:rsid w:val="00552178"/>
    <w:rsid w:val="00555F11"/>
    <w:rsid w:val="00561D4B"/>
    <w:rsid w:val="00564C77"/>
    <w:rsid w:val="00566D7B"/>
    <w:rsid w:val="00583AF8"/>
    <w:rsid w:val="005906DB"/>
    <w:rsid w:val="005921B4"/>
    <w:rsid w:val="00593438"/>
    <w:rsid w:val="0059424E"/>
    <w:rsid w:val="005A05E9"/>
    <w:rsid w:val="005A6E06"/>
    <w:rsid w:val="005B5C1F"/>
    <w:rsid w:val="005C73AC"/>
    <w:rsid w:val="005E17B9"/>
    <w:rsid w:val="005E551C"/>
    <w:rsid w:val="005E6230"/>
    <w:rsid w:val="005F0E66"/>
    <w:rsid w:val="005F2C47"/>
    <w:rsid w:val="005F45E9"/>
    <w:rsid w:val="00603FEB"/>
    <w:rsid w:val="006051DA"/>
    <w:rsid w:val="0061661E"/>
    <w:rsid w:val="006227CF"/>
    <w:rsid w:val="00634241"/>
    <w:rsid w:val="006366E1"/>
    <w:rsid w:val="00637E1A"/>
    <w:rsid w:val="00642109"/>
    <w:rsid w:val="00642366"/>
    <w:rsid w:val="00650F09"/>
    <w:rsid w:val="00651503"/>
    <w:rsid w:val="00654002"/>
    <w:rsid w:val="00661339"/>
    <w:rsid w:val="006629C9"/>
    <w:rsid w:val="006665BC"/>
    <w:rsid w:val="006716F5"/>
    <w:rsid w:val="006733E7"/>
    <w:rsid w:val="006734B7"/>
    <w:rsid w:val="00680933"/>
    <w:rsid w:val="006838F4"/>
    <w:rsid w:val="00686DD6"/>
    <w:rsid w:val="00694EBB"/>
    <w:rsid w:val="00695ED7"/>
    <w:rsid w:val="006A4D14"/>
    <w:rsid w:val="006A6CA5"/>
    <w:rsid w:val="006B13A7"/>
    <w:rsid w:val="006B1CF4"/>
    <w:rsid w:val="006C5820"/>
    <w:rsid w:val="006D07FC"/>
    <w:rsid w:val="006D20BD"/>
    <w:rsid w:val="006D2D0E"/>
    <w:rsid w:val="006D2FC6"/>
    <w:rsid w:val="006D3286"/>
    <w:rsid w:val="006D5FB2"/>
    <w:rsid w:val="006D7A90"/>
    <w:rsid w:val="006E08B5"/>
    <w:rsid w:val="006E4EAC"/>
    <w:rsid w:val="006E535B"/>
    <w:rsid w:val="006F569B"/>
    <w:rsid w:val="00701614"/>
    <w:rsid w:val="00710833"/>
    <w:rsid w:val="0071704B"/>
    <w:rsid w:val="00717705"/>
    <w:rsid w:val="0072242F"/>
    <w:rsid w:val="00727037"/>
    <w:rsid w:val="007275F2"/>
    <w:rsid w:val="00737C76"/>
    <w:rsid w:val="00741672"/>
    <w:rsid w:val="00744964"/>
    <w:rsid w:val="00747480"/>
    <w:rsid w:val="0075284F"/>
    <w:rsid w:val="00753A6B"/>
    <w:rsid w:val="00760F71"/>
    <w:rsid w:val="00761DFC"/>
    <w:rsid w:val="00762BE1"/>
    <w:rsid w:val="00772544"/>
    <w:rsid w:val="00773B00"/>
    <w:rsid w:val="00781F22"/>
    <w:rsid w:val="007917A3"/>
    <w:rsid w:val="00793295"/>
    <w:rsid w:val="00795555"/>
    <w:rsid w:val="007A1665"/>
    <w:rsid w:val="007A3B52"/>
    <w:rsid w:val="007A57B6"/>
    <w:rsid w:val="007A64AF"/>
    <w:rsid w:val="007B1BA2"/>
    <w:rsid w:val="007B25D9"/>
    <w:rsid w:val="007B3440"/>
    <w:rsid w:val="007B743F"/>
    <w:rsid w:val="007C56AD"/>
    <w:rsid w:val="007D2074"/>
    <w:rsid w:val="007D2F66"/>
    <w:rsid w:val="007D34B2"/>
    <w:rsid w:val="007D474A"/>
    <w:rsid w:val="007D56B1"/>
    <w:rsid w:val="007D5C95"/>
    <w:rsid w:val="007D7156"/>
    <w:rsid w:val="007E0795"/>
    <w:rsid w:val="007E4E70"/>
    <w:rsid w:val="007E696A"/>
    <w:rsid w:val="007F1032"/>
    <w:rsid w:val="007F3FA4"/>
    <w:rsid w:val="007F4FC0"/>
    <w:rsid w:val="007F6273"/>
    <w:rsid w:val="00800DB4"/>
    <w:rsid w:val="00803690"/>
    <w:rsid w:val="00805B0D"/>
    <w:rsid w:val="00810211"/>
    <w:rsid w:val="008124DB"/>
    <w:rsid w:val="00812A8B"/>
    <w:rsid w:val="00813901"/>
    <w:rsid w:val="00817DDD"/>
    <w:rsid w:val="00825CB9"/>
    <w:rsid w:val="008268FE"/>
    <w:rsid w:val="00830015"/>
    <w:rsid w:val="00830CC6"/>
    <w:rsid w:val="00833072"/>
    <w:rsid w:val="00834166"/>
    <w:rsid w:val="008365A5"/>
    <w:rsid w:val="00837438"/>
    <w:rsid w:val="00845BFE"/>
    <w:rsid w:val="0085231D"/>
    <w:rsid w:val="0085303A"/>
    <w:rsid w:val="0085399C"/>
    <w:rsid w:val="00863488"/>
    <w:rsid w:val="008658ED"/>
    <w:rsid w:val="00872562"/>
    <w:rsid w:val="0087259E"/>
    <w:rsid w:val="0087595F"/>
    <w:rsid w:val="00876D93"/>
    <w:rsid w:val="008825CC"/>
    <w:rsid w:val="00884115"/>
    <w:rsid w:val="00890788"/>
    <w:rsid w:val="008A26D7"/>
    <w:rsid w:val="008C0C88"/>
    <w:rsid w:val="008C4EA2"/>
    <w:rsid w:val="008C526B"/>
    <w:rsid w:val="008D3100"/>
    <w:rsid w:val="008D49AF"/>
    <w:rsid w:val="008E1FBA"/>
    <w:rsid w:val="008F2A6E"/>
    <w:rsid w:val="008F6547"/>
    <w:rsid w:val="00902A73"/>
    <w:rsid w:val="00902CEC"/>
    <w:rsid w:val="0090328A"/>
    <w:rsid w:val="009043B2"/>
    <w:rsid w:val="00907652"/>
    <w:rsid w:val="00922912"/>
    <w:rsid w:val="0092718B"/>
    <w:rsid w:val="009277AC"/>
    <w:rsid w:val="009312C9"/>
    <w:rsid w:val="0093176F"/>
    <w:rsid w:val="00932C96"/>
    <w:rsid w:val="009332B6"/>
    <w:rsid w:val="00945E23"/>
    <w:rsid w:val="009470A2"/>
    <w:rsid w:val="00951D36"/>
    <w:rsid w:val="0095214C"/>
    <w:rsid w:val="00956FB4"/>
    <w:rsid w:val="00961022"/>
    <w:rsid w:val="00961413"/>
    <w:rsid w:val="00961485"/>
    <w:rsid w:val="00962EA2"/>
    <w:rsid w:val="009668BC"/>
    <w:rsid w:val="00966E04"/>
    <w:rsid w:val="0096728F"/>
    <w:rsid w:val="009717F4"/>
    <w:rsid w:val="00973B16"/>
    <w:rsid w:val="00974272"/>
    <w:rsid w:val="00987561"/>
    <w:rsid w:val="00993891"/>
    <w:rsid w:val="009B05E2"/>
    <w:rsid w:val="009B14D9"/>
    <w:rsid w:val="009B2A83"/>
    <w:rsid w:val="009B4561"/>
    <w:rsid w:val="009B4E8E"/>
    <w:rsid w:val="009C253B"/>
    <w:rsid w:val="009C3FC8"/>
    <w:rsid w:val="009C542D"/>
    <w:rsid w:val="009C5D93"/>
    <w:rsid w:val="009D3AAA"/>
    <w:rsid w:val="009D7A8B"/>
    <w:rsid w:val="00A012F5"/>
    <w:rsid w:val="00A15845"/>
    <w:rsid w:val="00A16DC1"/>
    <w:rsid w:val="00A20B92"/>
    <w:rsid w:val="00A232A1"/>
    <w:rsid w:val="00A26326"/>
    <w:rsid w:val="00A26557"/>
    <w:rsid w:val="00A30431"/>
    <w:rsid w:val="00A30F4C"/>
    <w:rsid w:val="00A42C23"/>
    <w:rsid w:val="00A44AD1"/>
    <w:rsid w:val="00A4588C"/>
    <w:rsid w:val="00A50FC8"/>
    <w:rsid w:val="00A528D5"/>
    <w:rsid w:val="00A529FA"/>
    <w:rsid w:val="00A5565A"/>
    <w:rsid w:val="00A5748C"/>
    <w:rsid w:val="00A6017F"/>
    <w:rsid w:val="00A618B3"/>
    <w:rsid w:val="00A63E42"/>
    <w:rsid w:val="00A70AF5"/>
    <w:rsid w:val="00A82746"/>
    <w:rsid w:val="00A875D2"/>
    <w:rsid w:val="00A956D3"/>
    <w:rsid w:val="00AA3F88"/>
    <w:rsid w:val="00AB2F6B"/>
    <w:rsid w:val="00AB316B"/>
    <w:rsid w:val="00AB5BCE"/>
    <w:rsid w:val="00AB614F"/>
    <w:rsid w:val="00AB767D"/>
    <w:rsid w:val="00AC3070"/>
    <w:rsid w:val="00AC52A7"/>
    <w:rsid w:val="00AD1734"/>
    <w:rsid w:val="00AD4EB0"/>
    <w:rsid w:val="00AE3809"/>
    <w:rsid w:val="00AE3D20"/>
    <w:rsid w:val="00AF7F49"/>
    <w:rsid w:val="00B33FAE"/>
    <w:rsid w:val="00B368F8"/>
    <w:rsid w:val="00B369CF"/>
    <w:rsid w:val="00B42334"/>
    <w:rsid w:val="00B43EFD"/>
    <w:rsid w:val="00B473A1"/>
    <w:rsid w:val="00B518EC"/>
    <w:rsid w:val="00B51C4A"/>
    <w:rsid w:val="00B57C45"/>
    <w:rsid w:val="00B61EE2"/>
    <w:rsid w:val="00B620FD"/>
    <w:rsid w:val="00B6643A"/>
    <w:rsid w:val="00B679E2"/>
    <w:rsid w:val="00B67B60"/>
    <w:rsid w:val="00B72CAD"/>
    <w:rsid w:val="00B747B1"/>
    <w:rsid w:val="00B74DA4"/>
    <w:rsid w:val="00B750F4"/>
    <w:rsid w:val="00B75683"/>
    <w:rsid w:val="00B924FD"/>
    <w:rsid w:val="00BA3A54"/>
    <w:rsid w:val="00BA67CE"/>
    <w:rsid w:val="00BB07D4"/>
    <w:rsid w:val="00BB1D32"/>
    <w:rsid w:val="00BB44DC"/>
    <w:rsid w:val="00BB4B1A"/>
    <w:rsid w:val="00BB537A"/>
    <w:rsid w:val="00BB5B46"/>
    <w:rsid w:val="00BC7B6D"/>
    <w:rsid w:val="00BD287C"/>
    <w:rsid w:val="00BD6499"/>
    <w:rsid w:val="00BD66F6"/>
    <w:rsid w:val="00BD77E6"/>
    <w:rsid w:val="00BE787F"/>
    <w:rsid w:val="00BF5134"/>
    <w:rsid w:val="00C01FDF"/>
    <w:rsid w:val="00C11487"/>
    <w:rsid w:val="00C12DB2"/>
    <w:rsid w:val="00C12F97"/>
    <w:rsid w:val="00C35B40"/>
    <w:rsid w:val="00C36C08"/>
    <w:rsid w:val="00C372D2"/>
    <w:rsid w:val="00C42594"/>
    <w:rsid w:val="00C55397"/>
    <w:rsid w:val="00C553C6"/>
    <w:rsid w:val="00C66592"/>
    <w:rsid w:val="00C678CD"/>
    <w:rsid w:val="00C7500C"/>
    <w:rsid w:val="00C77166"/>
    <w:rsid w:val="00C90212"/>
    <w:rsid w:val="00C912BC"/>
    <w:rsid w:val="00C9688F"/>
    <w:rsid w:val="00CA61D8"/>
    <w:rsid w:val="00CA6A96"/>
    <w:rsid w:val="00CC0BC0"/>
    <w:rsid w:val="00CC0D1C"/>
    <w:rsid w:val="00CC2AA9"/>
    <w:rsid w:val="00CD1065"/>
    <w:rsid w:val="00CD37AB"/>
    <w:rsid w:val="00CD4D88"/>
    <w:rsid w:val="00CD5B21"/>
    <w:rsid w:val="00CE2AD4"/>
    <w:rsid w:val="00CE706A"/>
    <w:rsid w:val="00CF5C64"/>
    <w:rsid w:val="00CF5F84"/>
    <w:rsid w:val="00D00B37"/>
    <w:rsid w:val="00D0302F"/>
    <w:rsid w:val="00D045D2"/>
    <w:rsid w:val="00D05462"/>
    <w:rsid w:val="00D055F1"/>
    <w:rsid w:val="00D14517"/>
    <w:rsid w:val="00D15238"/>
    <w:rsid w:val="00D15DEF"/>
    <w:rsid w:val="00D20159"/>
    <w:rsid w:val="00D220ED"/>
    <w:rsid w:val="00D23368"/>
    <w:rsid w:val="00D338CC"/>
    <w:rsid w:val="00D4156D"/>
    <w:rsid w:val="00D455F8"/>
    <w:rsid w:val="00D503A0"/>
    <w:rsid w:val="00D506EB"/>
    <w:rsid w:val="00D54B1D"/>
    <w:rsid w:val="00D57504"/>
    <w:rsid w:val="00D60720"/>
    <w:rsid w:val="00D624C4"/>
    <w:rsid w:val="00D82D26"/>
    <w:rsid w:val="00D853C0"/>
    <w:rsid w:val="00D90253"/>
    <w:rsid w:val="00D902DD"/>
    <w:rsid w:val="00D90B1F"/>
    <w:rsid w:val="00D91CE2"/>
    <w:rsid w:val="00DA1013"/>
    <w:rsid w:val="00DA334F"/>
    <w:rsid w:val="00DA3DA4"/>
    <w:rsid w:val="00DA5C50"/>
    <w:rsid w:val="00DA7103"/>
    <w:rsid w:val="00DB427F"/>
    <w:rsid w:val="00DC4C77"/>
    <w:rsid w:val="00DD55D8"/>
    <w:rsid w:val="00DE28F5"/>
    <w:rsid w:val="00DE511D"/>
    <w:rsid w:val="00DF030D"/>
    <w:rsid w:val="00E02B18"/>
    <w:rsid w:val="00E06F3E"/>
    <w:rsid w:val="00E13B5D"/>
    <w:rsid w:val="00E15A19"/>
    <w:rsid w:val="00E26491"/>
    <w:rsid w:val="00E30749"/>
    <w:rsid w:val="00E32D0F"/>
    <w:rsid w:val="00E56DA0"/>
    <w:rsid w:val="00E70F91"/>
    <w:rsid w:val="00E713FF"/>
    <w:rsid w:val="00E71DD9"/>
    <w:rsid w:val="00E81463"/>
    <w:rsid w:val="00E83606"/>
    <w:rsid w:val="00E90C90"/>
    <w:rsid w:val="00E9374E"/>
    <w:rsid w:val="00E96AEE"/>
    <w:rsid w:val="00EC06E9"/>
    <w:rsid w:val="00EC577C"/>
    <w:rsid w:val="00ED1654"/>
    <w:rsid w:val="00ED7A91"/>
    <w:rsid w:val="00EE0A10"/>
    <w:rsid w:val="00EE24BD"/>
    <w:rsid w:val="00EE3DDE"/>
    <w:rsid w:val="00EE4FAD"/>
    <w:rsid w:val="00EF098B"/>
    <w:rsid w:val="00F001B0"/>
    <w:rsid w:val="00F0429C"/>
    <w:rsid w:val="00F149FA"/>
    <w:rsid w:val="00F34CC4"/>
    <w:rsid w:val="00F50CF7"/>
    <w:rsid w:val="00F54618"/>
    <w:rsid w:val="00F6182F"/>
    <w:rsid w:val="00F66CC9"/>
    <w:rsid w:val="00F671CB"/>
    <w:rsid w:val="00F6779A"/>
    <w:rsid w:val="00F67A31"/>
    <w:rsid w:val="00F73B00"/>
    <w:rsid w:val="00F8209F"/>
    <w:rsid w:val="00F83FC1"/>
    <w:rsid w:val="00F86D78"/>
    <w:rsid w:val="00FA1AC5"/>
    <w:rsid w:val="00FA60D8"/>
    <w:rsid w:val="00FB0386"/>
    <w:rsid w:val="00FB0394"/>
    <w:rsid w:val="00FB1D68"/>
    <w:rsid w:val="00FB4FAF"/>
    <w:rsid w:val="00FB514D"/>
    <w:rsid w:val="00FD773D"/>
    <w:rsid w:val="00FE614F"/>
    <w:rsid w:val="00FF0815"/>
    <w:rsid w:val="00FF5B2C"/>
    <w:rsid w:val="00FF64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7E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FEB"/>
    <w:pPr>
      <w:ind w:left="720"/>
      <w:contextualSpacing/>
    </w:pPr>
  </w:style>
  <w:style w:type="character" w:styleId="CommentReference">
    <w:name w:val="annotation reference"/>
    <w:basedOn w:val="DefaultParagraphFont"/>
    <w:uiPriority w:val="99"/>
    <w:semiHidden/>
    <w:unhideWhenUsed/>
    <w:rsid w:val="00D503A0"/>
    <w:rPr>
      <w:sz w:val="16"/>
      <w:szCs w:val="16"/>
    </w:rPr>
  </w:style>
  <w:style w:type="paragraph" w:styleId="CommentText">
    <w:name w:val="annotation text"/>
    <w:basedOn w:val="Normal"/>
    <w:link w:val="CommentTextChar"/>
    <w:uiPriority w:val="99"/>
    <w:semiHidden/>
    <w:unhideWhenUsed/>
    <w:rsid w:val="00D503A0"/>
    <w:pPr>
      <w:spacing w:line="240" w:lineRule="auto"/>
    </w:pPr>
    <w:rPr>
      <w:sz w:val="20"/>
      <w:szCs w:val="20"/>
    </w:rPr>
  </w:style>
  <w:style w:type="character" w:customStyle="1" w:styleId="CommentTextChar">
    <w:name w:val="Comment Text Char"/>
    <w:basedOn w:val="DefaultParagraphFont"/>
    <w:link w:val="CommentText"/>
    <w:uiPriority w:val="99"/>
    <w:semiHidden/>
    <w:rsid w:val="00D503A0"/>
    <w:rPr>
      <w:sz w:val="20"/>
      <w:szCs w:val="20"/>
    </w:rPr>
  </w:style>
  <w:style w:type="paragraph" w:styleId="CommentSubject">
    <w:name w:val="annotation subject"/>
    <w:basedOn w:val="CommentText"/>
    <w:next w:val="CommentText"/>
    <w:link w:val="CommentSubjectChar"/>
    <w:uiPriority w:val="99"/>
    <w:semiHidden/>
    <w:unhideWhenUsed/>
    <w:rsid w:val="00D503A0"/>
    <w:rPr>
      <w:b/>
      <w:bCs/>
    </w:rPr>
  </w:style>
  <w:style w:type="character" w:customStyle="1" w:styleId="CommentSubjectChar">
    <w:name w:val="Comment Subject Char"/>
    <w:basedOn w:val="CommentTextChar"/>
    <w:link w:val="CommentSubject"/>
    <w:uiPriority w:val="99"/>
    <w:semiHidden/>
    <w:rsid w:val="00D503A0"/>
    <w:rPr>
      <w:b/>
      <w:bCs/>
      <w:sz w:val="20"/>
      <w:szCs w:val="20"/>
    </w:rPr>
  </w:style>
  <w:style w:type="paragraph" w:styleId="BalloonText">
    <w:name w:val="Balloon Text"/>
    <w:basedOn w:val="Normal"/>
    <w:link w:val="BalloonTextChar"/>
    <w:uiPriority w:val="99"/>
    <w:semiHidden/>
    <w:unhideWhenUsed/>
    <w:rsid w:val="00D50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A0"/>
    <w:rPr>
      <w:rFonts w:ascii="Tahoma" w:hAnsi="Tahoma" w:cs="Tahoma"/>
      <w:sz w:val="16"/>
      <w:szCs w:val="16"/>
    </w:rPr>
  </w:style>
  <w:style w:type="paragraph" w:styleId="FootnoteText">
    <w:name w:val="footnote text"/>
    <w:basedOn w:val="Normal"/>
    <w:link w:val="FootnoteTextChar"/>
    <w:uiPriority w:val="99"/>
    <w:semiHidden/>
    <w:unhideWhenUsed/>
    <w:rsid w:val="00EF0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98B"/>
    <w:rPr>
      <w:sz w:val="20"/>
      <w:szCs w:val="20"/>
    </w:rPr>
  </w:style>
  <w:style w:type="character" w:styleId="FootnoteReference">
    <w:name w:val="footnote reference"/>
    <w:basedOn w:val="DefaultParagraphFont"/>
    <w:uiPriority w:val="99"/>
    <w:semiHidden/>
    <w:unhideWhenUsed/>
    <w:rsid w:val="00EF098B"/>
    <w:rPr>
      <w:vertAlign w:val="superscript"/>
    </w:rPr>
  </w:style>
  <w:style w:type="table" w:styleId="TableGrid">
    <w:name w:val="Table Grid"/>
    <w:basedOn w:val="TableNormal"/>
    <w:uiPriority w:val="59"/>
    <w:rsid w:val="00050BD4"/>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4EE"/>
  </w:style>
  <w:style w:type="paragraph" w:styleId="Footer">
    <w:name w:val="footer"/>
    <w:basedOn w:val="Normal"/>
    <w:link w:val="FooterChar"/>
    <w:uiPriority w:val="99"/>
    <w:unhideWhenUsed/>
    <w:rsid w:val="00452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EE"/>
  </w:style>
  <w:style w:type="paragraph" w:styleId="EndnoteText">
    <w:name w:val="endnote text"/>
    <w:basedOn w:val="Normal"/>
    <w:link w:val="EndnoteTextChar"/>
    <w:uiPriority w:val="99"/>
    <w:semiHidden/>
    <w:unhideWhenUsed/>
    <w:rsid w:val="003F1A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1A16"/>
    <w:rPr>
      <w:sz w:val="20"/>
      <w:szCs w:val="20"/>
    </w:rPr>
  </w:style>
  <w:style w:type="character" w:styleId="EndnoteReference">
    <w:name w:val="endnote reference"/>
    <w:basedOn w:val="DefaultParagraphFont"/>
    <w:uiPriority w:val="99"/>
    <w:semiHidden/>
    <w:unhideWhenUsed/>
    <w:rsid w:val="003F1A16"/>
    <w:rPr>
      <w:vertAlign w:val="superscript"/>
    </w:rPr>
  </w:style>
  <w:style w:type="character" w:styleId="Hyperlink">
    <w:name w:val="Hyperlink"/>
    <w:basedOn w:val="DefaultParagraphFont"/>
    <w:uiPriority w:val="99"/>
    <w:unhideWhenUsed/>
    <w:rsid w:val="00CF5C64"/>
    <w:rPr>
      <w:color w:val="0000FF" w:themeColor="hyperlink"/>
      <w:u w:val="single"/>
    </w:rPr>
  </w:style>
  <w:style w:type="paragraph" w:styleId="Revision">
    <w:name w:val="Revision"/>
    <w:hidden/>
    <w:uiPriority w:val="99"/>
    <w:semiHidden/>
    <w:rsid w:val="009668B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FEB"/>
    <w:pPr>
      <w:ind w:left="720"/>
      <w:contextualSpacing/>
    </w:pPr>
  </w:style>
  <w:style w:type="character" w:styleId="CommentReference">
    <w:name w:val="annotation reference"/>
    <w:basedOn w:val="DefaultParagraphFont"/>
    <w:uiPriority w:val="99"/>
    <w:semiHidden/>
    <w:unhideWhenUsed/>
    <w:rsid w:val="00D503A0"/>
    <w:rPr>
      <w:sz w:val="16"/>
      <w:szCs w:val="16"/>
    </w:rPr>
  </w:style>
  <w:style w:type="paragraph" w:styleId="CommentText">
    <w:name w:val="annotation text"/>
    <w:basedOn w:val="Normal"/>
    <w:link w:val="CommentTextChar"/>
    <w:uiPriority w:val="99"/>
    <w:semiHidden/>
    <w:unhideWhenUsed/>
    <w:rsid w:val="00D503A0"/>
    <w:pPr>
      <w:spacing w:line="240" w:lineRule="auto"/>
    </w:pPr>
    <w:rPr>
      <w:sz w:val="20"/>
      <w:szCs w:val="20"/>
    </w:rPr>
  </w:style>
  <w:style w:type="character" w:customStyle="1" w:styleId="CommentTextChar">
    <w:name w:val="Comment Text Char"/>
    <w:basedOn w:val="DefaultParagraphFont"/>
    <w:link w:val="CommentText"/>
    <w:uiPriority w:val="99"/>
    <w:semiHidden/>
    <w:rsid w:val="00D503A0"/>
    <w:rPr>
      <w:sz w:val="20"/>
      <w:szCs w:val="20"/>
    </w:rPr>
  </w:style>
  <w:style w:type="paragraph" w:styleId="CommentSubject">
    <w:name w:val="annotation subject"/>
    <w:basedOn w:val="CommentText"/>
    <w:next w:val="CommentText"/>
    <w:link w:val="CommentSubjectChar"/>
    <w:uiPriority w:val="99"/>
    <w:semiHidden/>
    <w:unhideWhenUsed/>
    <w:rsid w:val="00D503A0"/>
    <w:rPr>
      <w:b/>
      <w:bCs/>
    </w:rPr>
  </w:style>
  <w:style w:type="character" w:customStyle="1" w:styleId="CommentSubjectChar">
    <w:name w:val="Comment Subject Char"/>
    <w:basedOn w:val="CommentTextChar"/>
    <w:link w:val="CommentSubject"/>
    <w:uiPriority w:val="99"/>
    <w:semiHidden/>
    <w:rsid w:val="00D503A0"/>
    <w:rPr>
      <w:b/>
      <w:bCs/>
      <w:sz w:val="20"/>
      <w:szCs w:val="20"/>
    </w:rPr>
  </w:style>
  <w:style w:type="paragraph" w:styleId="BalloonText">
    <w:name w:val="Balloon Text"/>
    <w:basedOn w:val="Normal"/>
    <w:link w:val="BalloonTextChar"/>
    <w:uiPriority w:val="99"/>
    <w:semiHidden/>
    <w:unhideWhenUsed/>
    <w:rsid w:val="00D50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A0"/>
    <w:rPr>
      <w:rFonts w:ascii="Tahoma" w:hAnsi="Tahoma" w:cs="Tahoma"/>
      <w:sz w:val="16"/>
      <w:szCs w:val="16"/>
    </w:rPr>
  </w:style>
  <w:style w:type="paragraph" w:styleId="FootnoteText">
    <w:name w:val="footnote text"/>
    <w:basedOn w:val="Normal"/>
    <w:link w:val="FootnoteTextChar"/>
    <w:uiPriority w:val="99"/>
    <w:semiHidden/>
    <w:unhideWhenUsed/>
    <w:rsid w:val="00EF0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98B"/>
    <w:rPr>
      <w:sz w:val="20"/>
      <w:szCs w:val="20"/>
    </w:rPr>
  </w:style>
  <w:style w:type="character" w:styleId="FootnoteReference">
    <w:name w:val="footnote reference"/>
    <w:basedOn w:val="DefaultParagraphFont"/>
    <w:uiPriority w:val="99"/>
    <w:semiHidden/>
    <w:unhideWhenUsed/>
    <w:rsid w:val="00EF098B"/>
    <w:rPr>
      <w:vertAlign w:val="superscript"/>
    </w:rPr>
  </w:style>
  <w:style w:type="table" w:styleId="TableGrid">
    <w:name w:val="Table Grid"/>
    <w:basedOn w:val="TableNormal"/>
    <w:uiPriority w:val="59"/>
    <w:rsid w:val="00050BD4"/>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4EE"/>
  </w:style>
  <w:style w:type="paragraph" w:styleId="Footer">
    <w:name w:val="footer"/>
    <w:basedOn w:val="Normal"/>
    <w:link w:val="FooterChar"/>
    <w:uiPriority w:val="99"/>
    <w:unhideWhenUsed/>
    <w:rsid w:val="00452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EE"/>
  </w:style>
  <w:style w:type="paragraph" w:styleId="EndnoteText">
    <w:name w:val="endnote text"/>
    <w:basedOn w:val="Normal"/>
    <w:link w:val="EndnoteTextChar"/>
    <w:uiPriority w:val="99"/>
    <w:semiHidden/>
    <w:unhideWhenUsed/>
    <w:rsid w:val="003F1A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1A16"/>
    <w:rPr>
      <w:sz w:val="20"/>
      <w:szCs w:val="20"/>
    </w:rPr>
  </w:style>
  <w:style w:type="character" w:styleId="EndnoteReference">
    <w:name w:val="endnote reference"/>
    <w:basedOn w:val="DefaultParagraphFont"/>
    <w:uiPriority w:val="99"/>
    <w:semiHidden/>
    <w:unhideWhenUsed/>
    <w:rsid w:val="003F1A16"/>
    <w:rPr>
      <w:vertAlign w:val="superscript"/>
    </w:rPr>
  </w:style>
  <w:style w:type="character" w:styleId="Hyperlink">
    <w:name w:val="Hyperlink"/>
    <w:basedOn w:val="DefaultParagraphFont"/>
    <w:uiPriority w:val="99"/>
    <w:unhideWhenUsed/>
    <w:rsid w:val="00CF5C64"/>
    <w:rPr>
      <w:color w:val="0000FF" w:themeColor="hyperlink"/>
      <w:u w:val="single"/>
    </w:rPr>
  </w:style>
  <w:style w:type="paragraph" w:styleId="Revision">
    <w:name w:val="Revision"/>
    <w:hidden/>
    <w:uiPriority w:val="99"/>
    <w:semiHidden/>
    <w:rsid w:val="009668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5580">
      <w:bodyDiv w:val="1"/>
      <w:marLeft w:val="0"/>
      <w:marRight w:val="0"/>
      <w:marTop w:val="0"/>
      <w:marBottom w:val="0"/>
      <w:divBdr>
        <w:top w:val="none" w:sz="0" w:space="0" w:color="auto"/>
        <w:left w:val="none" w:sz="0" w:space="0" w:color="auto"/>
        <w:bottom w:val="none" w:sz="0" w:space="0" w:color="auto"/>
        <w:right w:val="none" w:sz="0" w:space="0" w:color="auto"/>
      </w:divBdr>
    </w:div>
    <w:div w:id="566889698">
      <w:bodyDiv w:val="1"/>
      <w:marLeft w:val="0"/>
      <w:marRight w:val="0"/>
      <w:marTop w:val="0"/>
      <w:marBottom w:val="0"/>
      <w:divBdr>
        <w:top w:val="none" w:sz="0" w:space="0" w:color="auto"/>
        <w:left w:val="none" w:sz="0" w:space="0" w:color="auto"/>
        <w:bottom w:val="none" w:sz="0" w:space="0" w:color="auto"/>
        <w:right w:val="none" w:sz="0" w:space="0" w:color="auto"/>
      </w:divBdr>
    </w:div>
    <w:div w:id="684134601">
      <w:bodyDiv w:val="1"/>
      <w:marLeft w:val="0"/>
      <w:marRight w:val="0"/>
      <w:marTop w:val="0"/>
      <w:marBottom w:val="0"/>
      <w:divBdr>
        <w:top w:val="none" w:sz="0" w:space="0" w:color="auto"/>
        <w:left w:val="none" w:sz="0" w:space="0" w:color="auto"/>
        <w:bottom w:val="none" w:sz="0" w:space="0" w:color="auto"/>
        <w:right w:val="none" w:sz="0" w:space="0" w:color="auto"/>
      </w:divBdr>
    </w:div>
    <w:div w:id="1298798702">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C0C0-D932-9E48-BB54-B4BD3AF1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3598</Words>
  <Characters>20512</Characters>
  <Application>Microsoft Macintosh Word</Application>
  <DocSecurity>0</DocSecurity>
  <Lines>170</Lines>
  <Paragraphs>48</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World Health Organization</Company>
  <LinksUpToDate>false</LinksUpToDate>
  <CharactersWithSpaces>24062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Phyllida</dc:creator>
  <cp:lastModifiedBy>Alison Dunn</cp:lastModifiedBy>
  <cp:revision>3</cp:revision>
  <cp:lastPrinted>2014-02-21T22:52:00Z</cp:lastPrinted>
  <dcterms:created xsi:type="dcterms:W3CDTF">2014-04-28T10:48:00Z</dcterms:created>
  <dcterms:modified xsi:type="dcterms:W3CDTF">2014-04-28T10:49:00Z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1455368398</vt:i4>
  </property>
  <property fmtid="{D5CDD505-2E9C-101B-9397-08002B2CF9AE}" pid="3" name="_NewReviewCycle">
    <vt:lpwstr/>
  </property>
  <property fmtid="{D5CDD505-2E9C-101B-9397-08002B2CF9AE}" pid="4" name="_EmailSubject">
    <vt:lpwstr>5 New documents for translation</vt:lpwstr>
  </property>
  <property fmtid="{D5CDD505-2E9C-101B-9397-08002B2CF9AE}" pid="5" name="_AuthorEmail">
    <vt:lpwstr>PascualV@who.int</vt:lpwstr>
  </property>
  <property fmtid="{D5CDD505-2E9C-101B-9397-08002B2CF9AE}" pid="6" name="_AuthorEmailDisplayName">
    <vt:lpwstr>REYES PASCUAL, Victoria Allah A.</vt:lpwstr>
  </property>
  <property fmtid="{D5CDD505-2E9C-101B-9397-08002B2CF9AE}" pid="7" name="_ReviewingToolsShownOnce">
    <vt:lpwstr/>
  </property>
</Properties>
</file>