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2D47" w14:textId="744195AE" w:rsidR="00EC272E" w:rsidRPr="00EC272E" w:rsidRDefault="0034750B" w:rsidP="00EC272E">
      <w:pPr>
        <w:pStyle w:val="Heading1"/>
      </w:pPr>
      <w:bookmarkStart w:id="0" w:name="_GoBack"/>
      <w:bookmarkEnd w:id="0"/>
      <w:r>
        <w:t>Introduction</w:t>
      </w:r>
    </w:p>
    <w:p w14:paraId="11DA1487" w14:textId="77777777" w:rsidR="0034750B" w:rsidRPr="00093C31" w:rsidRDefault="0034750B" w:rsidP="0034750B">
      <w:pPr>
        <w:spacing w:after="120"/>
        <w:jc w:val="both"/>
        <w:rPr>
          <w:rFonts w:ascii="Arial" w:hAnsi="Arial" w:cs="Arial"/>
          <w:sz w:val="22"/>
        </w:rPr>
      </w:pPr>
      <w:r w:rsidRPr="00093C31">
        <w:rPr>
          <w:rFonts w:ascii="Arial" w:hAnsi="Arial" w:cs="Arial"/>
          <w:sz w:val="22"/>
        </w:rPr>
        <w:t>All countries have now committed</w:t>
      </w:r>
      <w:r w:rsidRPr="00093C31">
        <w:rPr>
          <w:rFonts w:ascii="Arial" w:hAnsi="Arial" w:cs="Arial"/>
          <w:sz w:val="22"/>
          <w:szCs w:val="22"/>
        </w:rPr>
        <w:t xml:space="preserve"> themselves</w:t>
      </w:r>
      <w:r w:rsidRPr="00093C31">
        <w:rPr>
          <w:rFonts w:ascii="Arial" w:hAnsi="Arial" w:cs="Arial"/>
          <w:sz w:val="22"/>
        </w:rPr>
        <w:t xml:space="preserve"> to the Sustainable Development Goal (SDG) of ensuring healthy lives and promoting well-being for all at all ages, </w:t>
      </w:r>
      <w:r w:rsidRPr="00093C31">
        <w:rPr>
          <w:rFonts w:ascii="Arial" w:hAnsi="Arial" w:cs="Arial"/>
          <w:sz w:val="22"/>
          <w:szCs w:val="22"/>
        </w:rPr>
        <w:t>and</w:t>
      </w:r>
      <w:r w:rsidRPr="00093C31">
        <w:rPr>
          <w:rFonts w:ascii="Arial" w:hAnsi="Arial" w:cs="Arial"/>
          <w:sz w:val="22"/>
        </w:rPr>
        <w:t xml:space="preserve"> universal health coverage (UHC) </w:t>
      </w:r>
      <w:r w:rsidRPr="00093C31">
        <w:rPr>
          <w:rFonts w:ascii="Arial" w:hAnsi="Arial" w:cs="Arial"/>
          <w:sz w:val="22"/>
          <w:szCs w:val="22"/>
        </w:rPr>
        <w:t xml:space="preserve">is </w:t>
      </w:r>
      <w:r w:rsidRPr="00093C31">
        <w:rPr>
          <w:rFonts w:ascii="Arial" w:hAnsi="Arial" w:cs="Arial"/>
          <w:sz w:val="22"/>
        </w:rPr>
        <w:t xml:space="preserve">increasingly accepted as an </w:t>
      </w:r>
      <w:r w:rsidRPr="00093C31">
        <w:rPr>
          <w:rFonts w:ascii="Arial" w:hAnsi="Arial" w:cs="Arial"/>
          <w:sz w:val="22"/>
          <w:szCs w:val="22"/>
        </w:rPr>
        <w:t>“</w:t>
      </w:r>
      <w:r w:rsidRPr="00093C31">
        <w:rPr>
          <w:rFonts w:ascii="Arial" w:hAnsi="Arial" w:cs="Arial"/>
          <w:sz w:val="22"/>
        </w:rPr>
        <w:t>umbrella</w:t>
      </w:r>
      <w:r w:rsidRPr="00093C31">
        <w:rPr>
          <w:rFonts w:ascii="Arial" w:hAnsi="Arial" w:cs="Arial"/>
          <w:sz w:val="22"/>
          <w:szCs w:val="22"/>
        </w:rPr>
        <w:t>”</w:t>
      </w:r>
      <w:r w:rsidRPr="00093C31">
        <w:rPr>
          <w:rFonts w:ascii="Arial" w:hAnsi="Arial" w:cs="Arial"/>
          <w:sz w:val="22"/>
        </w:rPr>
        <w:t xml:space="preserve"> agenda. </w:t>
      </w:r>
      <w:r w:rsidRPr="00093C31">
        <w:rPr>
          <w:rFonts w:ascii="Arial" w:hAnsi="Arial" w:cs="Arial"/>
          <w:sz w:val="22"/>
          <w:szCs w:val="22"/>
        </w:rPr>
        <w:t xml:space="preserve">Achievement of </w:t>
      </w:r>
      <w:r w:rsidRPr="00093C31">
        <w:rPr>
          <w:rFonts w:ascii="Arial" w:hAnsi="Arial" w:cs="Arial"/>
          <w:sz w:val="22"/>
        </w:rPr>
        <w:t xml:space="preserve">UHC </w:t>
      </w:r>
      <w:r w:rsidRPr="00093C31">
        <w:rPr>
          <w:rFonts w:ascii="Arial" w:hAnsi="Arial" w:cs="Arial"/>
          <w:sz w:val="22"/>
          <w:szCs w:val="22"/>
        </w:rPr>
        <w:t xml:space="preserve">will </w:t>
      </w:r>
      <w:r w:rsidRPr="00093C31">
        <w:rPr>
          <w:rFonts w:ascii="Arial" w:eastAsia="Times New Roman" w:hAnsi="Arial" w:cs="Arial"/>
          <w:bCs/>
          <w:sz w:val="22"/>
          <w:szCs w:val="22"/>
        </w:rPr>
        <w:t>ensure</w:t>
      </w:r>
      <w:r w:rsidRPr="00093C31">
        <w:rPr>
          <w:rFonts w:ascii="Arial" w:hAnsi="Arial" w:cs="Arial"/>
          <w:sz w:val="22"/>
        </w:rPr>
        <w:t xml:space="preserve"> that all individuals and communities receive the health services they need without </w:t>
      </w:r>
      <w:r w:rsidRPr="00093C31">
        <w:rPr>
          <w:rFonts w:ascii="Arial" w:eastAsia="Times New Roman" w:hAnsi="Arial" w:cs="Arial"/>
          <w:bCs/>
          <w:sz w:val="22"/>
          <w:szCs w:val="22"/>
        </w:rPr>
        <w:t>undergoing</w:t>
      </w:r>
      <w:r w:rsidRPr="00093C31">
        <w:rPr>
          <w:rFonts w:ascii="Arial" w:hAnsi="Arial" w:cs="Arial"/>
          <w:sz w:val="22"/>
        </w:rPr>
        <w:t xml:space="preserve"> financial hardship. To achieve </w:t>
      </w:r>
      <w:r w:rsidRPr="00093C31">
        <w:rPr>
          <w:rFonts w:ascii="Arial" w:hAnsi="Arial" w:cs="Arial"/>
          <w:sz w:val="22"/>
          <w:szCs w:val="22"/>
        </w:rPr>
        <w:t>this goal,</w:t>
      </w:r>
      <w:r w:rsidRPr="00093C31">
        <w:rPr>
          <w:rFonts w:ascii="Arial" w:hAnsi="Arial" w:cs="Arial"/>
          <w:sz w:val="22"/>
        </w:rPr>
        <w:t xml:space="preserve"> both increased investment in health and health-enhancing sectors and better use of existing resources</w:t>
      </w:r>
      <w:r w:rsidRPr="00093C31">
        <w:rPr>
          <w:rFonts w:ascii="Arial" w:hAnsi="Arial" w:cs="Arial"/>
          <w:sz w:val="22"/>
          <w:szCs w:val="22"/>
        </w:rPr>
        <w:t xml:space="preserve"> are necessary</w:t>
      </w:r>
      <w:r w:rsidRPr="00093C31">
        <w:rPr>
          <w:rFonts w:ascii="Arial" w:hAnsi="Arial" w:cs="Arial"/>
          <w:sz w:val="22"/>
        </w:rPr>
        <w:t xml:space="preserve">. </w:t>
      </w:r>
    </w:p>
    <w:p w14:paraId="76522D92" w14:textId="77777777" w:rsidR="0034750B" w:rsidRPr="00093C31" w:rsidRDefault="0034750B" w:rsidP="0034750B">
      <w:pPr>
        <w:spacing w:after="120"/>
        <w:jc w:val="both"/>
        <w:rPr>
          <w:rFonts w:ascii="Arial" w:hAnsi="Arial" w:cs="Arial"/>
          <w:sz w:val="22"/>
        </w:rPr>
      </w:pPr>
      <w:r w:rsidRPr="00093C31">
        <w:rPr>
          <w:rFonts w:ascii="Arial" w:hAnsi="Arial" w:cs="Arial"/>
          <w:sz w:val="22"/>
        </w:rPr>
        <w:t xml:space="preserve">Investment in health </w:t>
      </w:r>
      <w:r w:rsidRPr="00093C31">
        <w:rPr>
          <w:rFonts w:ascii="Arial" w:hAnsi="Arial" w:cs="Arial"/>
          <w:sz w:val="22"/>
          <w:szCs w:val="22"/>
        </w:rPr>
        <w:t>is a</w:t>
      </w:r>
      <w:r w:rsidRPr="00093C31">
        <w:rPr>
          <w:rFonts w:ascii="Arial" w:hAnsi="Arial" w:cs="Arial"/>
          <w:sz w:val="22"/>
        </w:rPr>
        <w:t xml:space="preserve"> political choice, underpinned by the social contract between citizens and the state.</w:t>
      </w:r>
      <w:r w:rsidRPr="00093C31">
        <w:rPr>
          <w:rFonts w:ascii="Arial" w:hAnsi="Arial" w:cs="Arial"/>
          <w:sz w:val="22"/>
          <w:vertAlign w:val="superscript"/>
        </w:rPr>
        <w:footnoteReference w:id="1"/>
      </w:r>
      <w:r w:rsidRPr="00093C31">
        <w:rPr>
          <w:rFonts w:ascii="Arial" w:hAnsi="Arial" w:cs="Arial"/>
          <w:sz w:val="22"/>
        </w:rPr>
        <w:t xml:space="preserve"> Governments are responsible for progressive realization of the right to health</w:t>
      </w:r>
      <w:r w:rsidRPr="00093C31">
        <w:rPr>
          <w:rFonts w:ascii="Arial" w:hAnsi="Arial" w:cs="Arial"/>
          <w:sz w:val="22"/>
          <w:szCs w:val="22"/>
        </w:rPr>
        <w:t xml:space="preserve"> by allocating</w:t>
      </w:r>
      <w:r w:rsidRPr="00093C31">
        <w:rPr>
          <w:rFonts w:ascii="Arial" w:hAnsi="Arial" w:cs="Arial"/>
          <w:sz w:val="22"/>
        </w:rPr>
        <w:t xml:space="preserve"> the maximum available resources, establishing priorities</w:t>
      </w:r>
      <w:r w:rsidRPr="00093C31">
        <w:rPr>
          <w:rFonts w:ascii="Arial" w:hAnsi="Arial" w:cs="Arial"/>
          <w:sz w:val="22"/>
          <w:szCs w:val="22"/>
        </w:rPr>
        <w:t xml:space="preserve"> and</w:t>
      </w:r>
      <w:r w:rsidRPr="00093C31">
        <w:rPr>
          <w:rFonts w:ascii="Arial" w:hAnsi="Arial" w:cs="Arial"/>
          <w:sz w:val="22"/>
        </w:rPr>
        <w:t xml:space="preserve"> ensuring that planned and actual expenditures are transparent, equitable and efficiently used</w:t>
      </w:r>
      <w:r w:rsidRPr="00093C31">
        <w:rPr>
          <w:rFonts w:ascii="Arial" w:hAnsi="Arial" w:cs="Arial"/>
          <w:sz w:val="22"/>
          <w:szCs w:val="22"/>
        </w:rPr>
        <w:t xml:space="preserve"> </w:t>
      </w:r>
      <w:r w:rsidRPr="00093C31">
        <w:rPr>
          <w:rFonts w:ascii="Arial" w:hAnsi="Arial" w:cs="Arial"/>
          <w:i/>
          <w:sz w:val="22"/>
          <w:szCs w:val="22"/>
        </w:rPr>
        <w:t>(1)</w:t>
      </w:r>
      <w:r w:rsidRPr="00093C31">
        <w:rPr>
          <w:rFonts w:ascii="Arial" w:hAnsi="Arial" w:cs="Arial"/>
          <w:sz w:val="22"/>
          <w:szCs w:val="22"/>
        </w:rPr>
        <w:t>.</w:t>
      </w:r>
      <w:r w:rsidRPr="00093C31">
        <w:rPr>
          <w:rFonts w:ascii="Arial" w:hAnsi="Arial" w:cs="Arial"/>
          <w:sz w:val="22"/>
        </w:rPr>
        <w:t xml:space="preserve"> Citizens, civil society</w:t>
      </w:r>
      <w:r w:rsidRPr="00093C31">
        <w:rPr>
          <w:rFonts w:ascii="Arial" w:hAnsi="Arial" w:cs="Arial"/>
          <w:sz w:val="22"/>
          <w:szCs w:val="22"/>
        </w:rPr>
        <w:t>,</w:t>
      </w:r>
      <w:r w:rsidRPr="00093C31">
        <w:rPr>
          <w:rFonts w:ascii="Arial" w:hAnsi="Arial" w:cs="Arial"/>
          <w:sz w:val="22"/>
          <w:vertAlign w:val="superscript"/>
        </w:rPr>
        <w:footnoteReference w:id="2"/>
      </w:r>
      <w:r w:rsidRPr="00093C31">
        <w:rPr>
          <w:rFonts w:ascii="Arial" w:hAnsi="Arial" w:cs="Arial"/>
          <w:sz w:val="22"/>
          <w:szCs w:val="22"/>
        </w:rPr>
        <w:t xml:space="preserve"> the</w:t>
      </w:r>
      <w:r w:rsidRPr="00093C31">
        <w:rPr>
          <w:rFonts w:ascii="Arial" w:hAnsi="Arial" w:cs="Arial"/>
          <w:sz w:val="22"/>
        </w:rPr>
        <w:t xml:space="preserve"> media, parliamentarians and other stakeholders</w:t>
      </w:r>
      <w:r w:rsidRPr="00093C31">
        <w:rPr>
          <w:rFonts w:ascii="Arial" w:hAnsi="Arial" w:cs="Arial"/>
          <w:sz w:val="22"/>
          <w:vertAlign w:val="superscript"/>
        </w:rPr>
        <w:footnoteReference w:id="3"/>
      </w:r>
      <w:r w:rsidRPr="00093C31">
        <w:rPr>
          <w:rFonts w:ascii="Arial" w:hAnsi="Arial" w:cs="Arial"/>
          <w:sz w:val="22"/>
        </w:rPr>
        <w:t xml:space="preserve"> can </w:t>
      </w:r>
      <w:r w:rsidRPr="00093C31">
        <w:rPr>
          <w:rFonts w:ascii="Arial" w:hAnsi="Arial" w:cs="Arial"/>
          <w:sz w:val="22"/>
          <w:szCs w:val="22"/>
        </w:rPr>
        <w:t>be</w:t>
      </w:r>
      <w:r w:rsidRPr="00093C31">
        <w:rPr>
          <w:rFonts w:ascii="Arial" w:hAnsi="Arial" w:cs="Arial"/>
          <w:sz w:val="22"/>
        </w:rPr>
        <w:t xml:space="preserve"> instrumental in holding governments accountable for policy and investment choices made along the pathway towards UHC. </w:t>
      </w:r>
    </w:p>
    <w:p w14:paraId="49AB3286" w14:textId="7FAF7DAC" w:rsidR="0034750B" w:rsidRPr="00093C31" w:rsidRDefault="0034750B" w:rsidP="0034750B">
      <w:pPr>
        <w:spacing w:after="120"/>
        <w:jc w:val="both"/>
        <w:rPr>
          <w:rFonts w:ascii="Arial" w:hAnsi="Arial" w:cs="Arial"/>
          <w:sz w:val="22"/>
        </w:rPr>
      </w:pPr>
      <w:bookmarkStart w:id="1" w:name="_Hlk64031507"/>
      <w:r w:rsidRPr="00093C31">
        <w:rPr>
          <w:rFonts w:ascii="Arial" w:hAnsi="Arial" w:cs="Arial"/>
          <w:sz w:val="22"/>
        </w:rPr>
        <w:t xml:space="preserve">The </w:t>
      </w:r>
      <w:r w:rsidRPr="00093C31">
        <w:rPr>
          <w:rFonts w:ascii="Arial" w:eastAsia="SimSun" w:hAnsi="Arial" w:cs="Arial"/>
          <w:sz w:val="22"/>
          <w:szCs w:val="22"/>
          <w:lang w:eastAsia="zh-CN"/>
        </w:rPr>
        <w:t>COVID-19</w:t>
      </w:r>
      <w:r w:rsidRPr="00093C31">
        <w:rPr>
          <w:rFonts w:ascii="Arial" w:hAnsi="Arial" w:cs="Arial"/>
          <w:sz w:val="22"/>
        </w:rPr>
        <w:t xml:space="preserve"> pandemic has dramatically changed the landscape of health globally and </w:t>
      </w:r>
      <w:r w:rsidRPr="00093C31">
        <w:rPr>
          <w:rFonts w:ascii="Arial" w:eastAsia="SimSun" w:hAnsi="Arial" w:cs="Arial"/>
          <w:sz w:val="22"/>
          <w:szCs w:val="22"/>
          <w:lang w:eastAsia="zh-CN"/>
        </w:rPr>
        <w:t>nationally</w:t>
      </w:r>
      <w:r w:rsidRPr="00093C31">
        <w:rPr>
          <w:rFonts w:ascii="Arial" w:hAnsi="Arial" w:cs="Arial"/>
          <w:sz w:val="22"/>
        </w:rPr>
        <w:t xml:space="preserve"> and reinforced the </w:t>
      </w:r>
      <w:r w:rsidRPr="00093C31">
        <w:rPr>
          <w:rFonts w:ascii="Arial" w:eastAsia="SimSun" w:hAnsi="Arial" w:cs="Arial"/>
          <w:sz w:val="22"/>
          <w:szCs w:val="22"/>
          <w:lang w:eastAsia="zh-CN"/>
        </w:rPr>
        <w:t xml:space="preserve">importance of </w:t>
      </w:r>
      <w:r w:rsidRPr="00093C31">
        <w:rPr>
          <w:rFonts w:ascii="Arial" w:hAnsi="Arial" w:cs="Arial"/>
          <w:sz w:val="22"/>
        </w:rPr>
        <w:t>budget advocacy and accountability. COVID-19 is threatening a decade of human capital gains, including progress towards primary health care and UHC</w:t>
      </w:r>
      <w:r w:rsidRPr="00093C31">
        <w:rPr>
          <w:rFonts w:ascii="Arial" w:eastAsia="Times New Roman" w:hAnsi="Arial" w:cs="Arial"/>
          <w:bCs/>
          <w:sz w:val="22"/>
          <w:szCs w:val="22"/>
        </w:rPr>
        <w:t xml:space="preserve"> </w:t>
      </w:r>
      <w:r w:rsidRPr="00093C31">
        <w:rPr>
          <w:rFonts w:ascii="Arial" w:eastAsia="Times New Roman" w:hAnsi="Arial" w:cs="Arial"/>
          <w:bCs/>
          <w:i/>
          <w:sz w:val="22"/>
          <w:szCs w:val="22"/>
        </w:rPr>
        <w:t>(2)</w:t>
      </w:r>
      <w:r w:rsidRPr="00093C31">
        <w:rPr>
          <w:rFonts w:ascii="Arial" w:eastAsia="Times New Roman" w:hAnsi="Arial" w:cs="Arial"/>
          <w:bCs/>
          <w:sz w:val="22"/>
          <w:szCs w:val="22"/>
        </w:rPr>
        <w:t>.</w:t>
      </w:r>
      <w:r w:rsidRPr="00093C31">
        <w:rPr>
          <w:rFonts w:ascii="Arial" w:hAnsi="Arial" w:cs="Arial"/>
          <w:sz w:val="22"/>
        </w:rPr>
        <w:t xml:space="preserve"> The crisis disproportionately affects vulnerable </w:t>
      </w:r>
      <w:r w:rsidRPr="00093C31">
        <w:rPr>
          <w:rFonts w:ascii="Arial" w:hAnsi="Arial" w:cs="Arial"/>
          <w:bCs/>
          <w:sz w:val="22"/>
        </w:rPr>
        <w:t xml:space="preserve">populations, including poor, marginalized women, children and adolescents, the disabled, those living in humanitarian and fragile settings and ethnic minorities. Its effects are felt in particular by women, who shoulder a disproportionate burden </w:t>
      </w:r>
      <w:r w:rsidR="002728A6">
        <w:rPr>
          <w:rFonts w:ascii="Arial" w:hAnsi="Arial" w:cs="Arial"/>
          <w:bCs/>
          <w:sz w:val="22"/>
        </w:rPr>
        <w:t>as well as</w:t>
      </w:r>
      <w:r w:rsidRPr="00093C31">
        <w:rPr>
          <w:rFonts w:ascii="Arial" w:hAnsi="Arial" w:cs="Arial"/>
          <w:bCs/>
          <w:sz w:val="22"/>
        </w:rPr>
        <w:t xml:space="preserve"> social and economic impacts. COVID-19 </w:t>
      </w:r>
      <w:r w:rsidRPr="00093C31">
        <w:rPr>
          <w:rFonts w:ascii="Arial" w:hAnsi="Arial" w:cs="Arial"/>
          <w:sz w:val="22"/>
        </w:rPr>
        <w:t xml:space="preserve">is further increasing the burden on women and is disrupting essential health services for everyone. Countries are grappling with falling public revenues, </w:t>
      </w:r>
      <w:r w:rsidRPr="00093C31">
        <w:rPr>
          <w:rFonts w:ascii="Arial" w:eastAsia="SimSun" w:hAnsi="Arial" w:cs="Arial"/>
          <w:sz w:val="22"/>
          <w:szCs w:val="22"/>
          <w:lang w:eastAsia="zh-CN"/>
        </w:rPr>
        <w:t>increasing expenditure</w:t>
      </w:r>
      <w:r w:rsidRPr="00093C31">
        <w:rPr>
          <w:rFonts w:ascii="Arial" w:hAnsi="Arial" w:cs="Arial"/>
          <w:sz w:val="22"/>
        </w:rPr>
        <w:t xml:space="preserve"> and rising debt obligations resulting from the pandemic. The resulting shrinking fiscal space for </w:t>
      </w:r>
      <w:r w:rsidRPr="00093C31">
        <w:rPr>
          <w:rFonts w:ascii="Arial" w:eastAsia="SimSun" w:hAnsi="Arial" w:cs="Arial"/>
          <w:sz w:val="22"/>
          <w:szCs w:val="22"/>
          <w:lang w:eastAsia="zh-CN"/>
        </w:rPr>
        <w:t xml:space="preserve">the </w:t>
      </w:r>
      <w:r w:rsidRPr="00093C31">
        <w:rPr>
          <w:rFonts w:ascii="Arial" w:hAnsi="Arial" w:cs="Arial"/>
          <w:sz w:val="22"/>
        </w:rPr>
        <w:t>public sector is affecting health. Evidence also shows that</w:t>
      </w:r>
      <w:r w:rsidRPr="00093C31">
        <w:rPr>
          <w:rFonts w:ascii="Arial" w:eastAsia="SimSun" w:hAnsi="Arial" w:cs="Arial"/>
          <w:sz w:val="22"/>
          <w:szCs w:val="22"/>
          <w:lang w:eastAsia="zh-CN"/>
        </w:rPr>
        <w:t xml:space="preserve"> a</w:t>
      </w:r>
      <w:r w:rsidRPr="00093C31">
        <w:rPr>
          <w:rFonts w:ascii="Arial" w:hAnsi="Arial" w:cs="Arial"/>
          <w:sz w:val="22"/>
        </w:rPr>
        <w:t xml:space="preserve"> </w:t>
      </w:r>
      <w:r w:rsidRPr="00093C31">
        <w:rPr>
          <w:rFonts w:ascii="Arial" w:hAnsi="Arial" w:cs="Arial"/>
          <w:sz w:val="22"/>
          <w:shd w:val="clear" w:color="auto" w:fill="FFFFFF"/>
        </w:rPr>
        <w:t xml:space="preserve">successful response to the crisis must ensure that everyone, everywhere is covered by proven public health measures and appropriate health care. </w:t>
      </w:r>
    </w:p>
    <w:p w14:paraId="47BE1B84" w14:textId="77777777" w:rsidR="0034750B" w:rsidRPr="00093C31" w:rsidRDefault="0034750B" w:rsidP="0034750B">
      <w:pPr>
        <w:spacing w:after="120"/>
        <w:jc w:val="both"/>
        <w:rPr>
          <w:rFonts w:ascii="Arial" w:hAnsi="Arial" w:cs="Arial"/>
          <w:sz w:val="22"/>
        </w:rPr>
      </w:pPr>
      <w:bookmarkStart w:id="2" w:name="_Hlk64031526"/>
      <w:bookmarkEnd w:id="1"/>
      <w:r w:rsidRPr="00093C31">
        <w:rPr>
          <w:rFonts w:ascii="Arial" w:hAnsi="Arial" w:cs="Arial"/>
          <w:sz w:val="22"/>
        </w:rPr>
        <w:t xml:space="preserve">The </w:t>
      </w:r>
      <w:r w:rsidRPr="00093C31">
        <w:rPr>
          <w:rFonts w:ascii="Arial" w:eastAsia="SimSun" w:hAnsi="Arial" w:cs="Arial"/>
          <w:sz w:val="22"/>
          <w:szCs w:val="22"/>
          <w:lang w:eastAsia="zh-CN"/>
        </w:rPr>
        <w:t>interdependence</w:t>
      </w:r>
      <w:r w:rsidRPr="00093C31">
        <w:rPr>
          <w:rFonts w:ascii="Arial" w:hAnsi="Arial" w:cs="Arial"/>
          <w:sz w:val="22"/>
        </w:rPr>
        <w:t xml:space="preserve"> of health and economic security makes a strong case for advocating </w:t>
      </w:r>
      <w:r w:rsidRPr="00093C31">
        <w:rPr>
          <w:rFonts w:ascii="Arial" w:eastAsia="SimSun" w:hAnsi="Arial" w:cs="Arial"/>
          <w:sz w:val="22"/>
          <w:szCs w:val="22"/>
          <w:lang w:eastAsia="zh-CN"/>
        </w:rPr>
        <w:t xml:space="preserve">for </w:t>
      </w:r>
      <w:r w:rsidRPr="00093C31">
        <w:rPr>
          <w:rFonts w:ascii="Arial" w:hAnsi="Arial" w:cs="Arial"/>
          <w:sz w:val="22"/>
        </w:rPr>
        <w:t xml:space="preserve">adequate allocation of public domestic resources for health and efficient use of those resources towards UHC that builds on common goods for health and includes primary health care. The pandemic also shows the imperative </w:t>
      </w:r>
      <w:r w:rsidRPr="00093C31">
        <w:rPr>
          <w:rFonts w:ascii="Arial" w:eastAsia="SimSun" w:hAnsi="Arial" w:cs="Arial"/>
          <w:sz w:val="22"/>
          <w:szCs w:val="22"/>
          <w:lang w:eastAsia="zh-CN"/>
        </w:rPr>
        <w:t>of investing</w:t>
      </w:r>
      <w:r w:rsidRPr="00093C31">
        <w:rPr>
          <w:rFonts w:ascii="Arial" w:hAnsi="Arial" w:cs="Arial"/>
          <w:sz w:val="22"/>
        </w:rPr>
        <w:t xml:space="preserve"> in the common goods for health</w:t>
      </w:r>
      <w:r w:rsidRPr="00093C31">
        <w:rPr>
          <w:rFonts w:ascii="Arial" w:eastAsia="SimSun" w:hAnsi="Arial" w:cs="Arial"/>
          <w:sz w:val="22"/>
          <w:szCs w:val="22"/>
          <w:lang w:eastAsia="zh-CN"/>
        </w:rPr>
        <w:t>, which</w:t>
      </w:r>
      <w:r w:rsidRPr="00093C31">
        <w:rPr>
          <w:rFonts w:ascii="Arial" w:hAnsi="Arial" w:cs="Arial"/>
          <w:sz w:val="22"/>
        </w:rPr>
        <w:t xml:space="preserve"> include public health </w:t>
      </w:r>
      <w:r w:rsidRPr="00093C31">
        <w:rPr>
          <w:rFonts w:ascii="Arial" w:eastAsia="SimSun" w:hAnsi="Arial" w:cs="Arial"/>
          <w:sz w:val="22"/>
          <w:szCs w:val="22"/>
          <w:lang w:eastAsia="zh-CN"/>
        </w:rPr>
        <w:t>activities</w:t>
      </w:r>
      <w:r w:rsidRPr="00093C31">
        <w:rPr>
          <w:rFonts w:ascii="Arial" w:hAnsi="Arial" w:cs="Arial"/>
          <w:sz w:val="22"/>
        </w:rPr>
        <w:t xml:space="preserve"> such as emergency preparedness, integrated surveillance </w:t>
      </w:r>
      <w:r w:rsidRPr="00093C31">
        <w:rPr>
          <w:rFonts w:ascii="Arial" w:eastAsia="SimSun" w:hAnsi="Arial" w:cs="Arial"/>
          <w:sz w:val="22"/>
          <w:szCs w:val="22"/>
          <w:lang w:eastAsia="zh-CN"/>
        </w:rPr>
        <w:t xml:space="preserve">and strengthening </w:t>
      </w:r>
      <w:r w:rsidRPr="00093C31">
        <w:rPr>
          <w:rFonts w:ascii="Arial" w:hAnsi="Arial" w:cs="Arial"/>
          <w:sz w:val="22"/>
        </w:rPr>
        <w:t>primary health care as a cornerstone of people</w:t>
      </w:r>
      <w:r w:rsidRPr="00093C31">
        <w:rPr>
          <w:rFonts w:ascii="Arial" w:eastAsia="SimSun" w:hAnsi="Arial" w:cs="Arial"/>
          <w:sz w:val="22"/>
          <w:szCs w:val="22"/>
          <w:lang w:eastAsia="zh-CN"/>
        </w:rPr>
        <w:t>-</w:t>
      </w:r>
      <w:r w:rsidRPr="00093C31">
        <w:rPr>
          <w:rFonts w:ascii="Arial" w:hAnsi="Arial" w:cs="Arial"/>
          <w:sz w:val="22"/>
        </w:rPr>
        <w:t>centred</w:t>
      </w:r>
      <w:r w:rsidRPr="00093C31">
        <w:rPr>
          <w:rFonts w:ascii="Arial" w:eastAsia="SimSun" w:hAnsi="Arial" w:cs="Arial"/>
          <w:sz w:val="22"/>
          <w:szCs w:val="22"/>
          <w:lang w:eastAsia="zh-CN"/>
        </w:rPr>
        <w:t>,</w:t>
      </w:r>
      <w:r w:rsidRPr="00093C31">
        <w:rPr>
          <w:rFonts w:ascii="Arial" w:hAnsi="Arial" w:cs="Arial"/>
          <w:sz w:val="22"/>
        </w:rPr>
        <w:t xml:space="preserve"> </w:t>
      </w:r>
      <w:r w:rsidRPr="00093C31">
        <w:rPr>
          <w:rFonts w:ascii="Arial" w:hAnsi="Arial" w:cs="Arial"/>
          <w:sz w:val="22"/>
        </w:rPr>
        <w:lastRenderedPageBreak/>
        <w:t>integrated service delivery. Hard</w:t>
      </w:r>
      <w:r w:rsidRPr="00093C31">
        <w:rPr>
          <w:rFonts w:ascii="Arial" w:eastAsia="SimSun" w:hAnsi="Arial" w:cs="Arial"/>
          <w:sz w:val="22"/>
          <w:szCs w:val="22"/>
          <w:lang w:eastAsia="zh-CN"/>
        </w:rPr>
        <w:t>-</w:t>
      </w:r>
      <w:r w:rsidRPr="00093C31">
        <w:rPr>
          <w:rFonts w:ascii="Arial" w:hAnsi="Arial" w:cs="Arial"/>
          <w:sz w:val="22"/>
        </w:rPr>
        <w:t xml:space="preserve">won gains in essential service coverage must be sustained and scaled up. </w:t>
      </w:r>
    </w:p>
    <w:p w14:paraId="633272D0" w14:textId="77777777" w:rsidR="0034750B" w:rsidRPr="00093C31" w:rsidRDefault="0034750B" w:rsidP="0034750B">
      <w:pPr>
        <w:spacing w:after="120"/>
        <w:jc w:val="both"/>
        <w:rPr>
          <w:rFonts w:ascii="Arial" w:hAnsi="Arial" w:cs="Arial"/>
          <w:sz w:val="22"/>
        </w:rPr>
      </w:pPr>
      <w:r w:rsidRPr="00093C31">
        <w:rPr>
          <w:rFonts w:ascii="Arial" w:hAnsi="Arial" w:cs="Arial"/>
          <w:sz w:val="22"/>
        </w:rPr>
        <w:t xml:space="preserve">Health budget literacy is critical for civil society and other stakeholders to influence decision-making </w:t>
      </w:r>
      <w:r w:rsidRPr="00093C31">
        <w:rPr>
          <w:rFonts w:ascii="Arial" w:hAnsi="Arial" w:cs="Arial"/>
          <w:sz w:val="22"/>
          <w:szCs w:val="22"/>
        </w:rPr>
        <w:t>on</w:t>
      </w:r>
      <w:r w:rsidRPr="00093C31">
        <w:rPr>
          <w:rFonts w:ascii="Arial" w:hAnsi="Arial" w:cs="Arial"/>
          <w:sz w:val="22"/>
        </w:rPr>
        <w:t xml:space="preserve"> allocation and use of public resources for health. </w:t>
      </w:r>
      <w:r w:rsidRPr="00093C31">
        <w:rPr>
          <w:rFonts w:ascii="Arial" w:hAnsi="Arial" w:cs="Arial"/>
          <w:sz w:val="22"/>
          <w:szCs w:val="22"/>
        </w:rPr>
        <w:t>Health literacy includes</w:t>
      </w:r>
      <w:r w:rsidRPr="00093C31">
        <w:rPr>
          <w:rFonts w:ascii="Arial" w:hAnsi="Arial" w:cs="Arial"/>
          <w:sz w:val="22"/>
        </w:rPr>
        <w:t xml:space="preserve"> accessing budget information, </w:t>
      </w:r>
      <w:r w:rsidRPr="00093C31">
        <w:rPr>
          <w:rFonts w:ascii="Arial" w:hAnsi="Arial" w:cs="Arial"/>
          <w:sz w:val="22"/>
          <w:szCs w:val="22"/>
        </w:rPr>
        <w:t>analysing it</w:t>
      </w:r>
      <w:r w:rsidRPr="00093C31">
        <w:rPr>
          <w:rFonts w:ascii="Arial" w:hAnsi="Arial" w:cs="Arial"/>
          <w:sz w:val="22"/>
        </w:rPr>
        <w:t xml:space="preserve"> to expose </w:t>
      </w:r>
      <w:r w:rsidRPr="00093C31">
        <w:rPr>
          <w:rFonts w:ascii="Arial" w:hAnsi="Arial" w:cs="Arial"/>
          <w:sz w:val="22"/>
          <w:szCs w:val="22"/>
        </w:rPr>
        <w:t xml:space="preserve">the </w:t>
      </w:r>
      <w:r w:rsidRPr="00093C31">
        <w:rPr>
          <w:rFonts w:ascii="Arial" w:hAnsi="Arial" w:cs="Arial"/>
          <w:sz w:val="22"/>
        </w:rPr>
        <w:t>decisions made and their implications, and influencing budget choices through advocacy and accountability</w:t>
      </w:r>
      <w:r w:rsidRPr="00093C31">
        <w:rPr>
          <w:rFonts w:ascii="Arial" w:hAnsi="Arial" w:cs="Arial"/>
          <w:sz w:val="22"/>
          <w:szCs w:val="22"/>
        </w:rPr>
        <w:t xml:space="preserve"> </w:t>
      </w:r>
      <w:r w:rsidRPr="00093C31">
        <w:rPr>
          <w:rFonts w:ascii="Arial" w:hAnsi="Arial" w:cs="Arial"/>
          <w:i/>
          <w:sz w:val="22"/>
          <w:szCs w:val="22"/>
        </w:rPr>
        <w:t>(3)</w:t>
      </w:r>
      <w:r w:rsidRPr="00093C31">
        <w:rPr>
          <w:rFonts w:ascii="Arial" w:hAnsi="Arial" w:cs="Arial"/>
          <w:sz w:val="22"/>
          <w:szCs w:val="22"/>
        </w:rPr>
        <w:t>. Approaches</w:t>
      </w:r>
      <w:r w:rsidRPr="00093C31">
        <w:rPr>
          <w:rFonts w:ascii="Arial" w:hAnsi="Arial" w:cs="Arial"/>
          <w:sz w:val="22"/>
        </w:rPr>
        <w:t xml:space="preserve"> to health budget advocacy </w:t>
      </w:r>
      <w:r w:rsidRPr="00093C31">
        <w:rPr>
          <w:rFonts w:ascii="Arial" w:hAnsi="Arial" w:cs="Arial"/>
          <w:sz w:val="22"/>
          <w:szCs w:val="22"/>
        </w:rPr>
        <w:t>should be strengthened to</w:t>
      </w:r>
      <w:r w:rsidRPr="00093C31">
        <w:rPr>
          <w:rFonts w:ascii="Arial" w:hAnsi="Arial" w:cs="Arial"/>
          <w:sz w:val="22"/>
        </w:rPr>
        <w:t xml:space="preserve"> promote better multi-stakeholder collaboration and coherence across the sector</w:t>
      </w:r>
      <w:r w:rsidRPr="00093C31">
        <w:rPr>
          <w:rFonts w:ascii="Arial" w:hAnsi="Arial" w:cs="Arial"/>
          <w:sz w:val="22"/>
          <w:szCs w:val="22"/>
        </w:rPr>
        <w:t>.</w:t>
      </w:r>
    </w:p>
    <w:bookmarkEnd w:id="2"/>
    <w:p w14:paraId="216B89EE" w14:textId="77777777" w:rsidR="0034750B" w:rsidRPr="00093C31" w:rsidRDefault="0034750B" w:rsidP="0034750B">
      <w:pPr>
        <w:spacing w:after="120"/>
        <w:jc w:val="both"/>
        <w:rPr>
          <w:rFonts w:ascii="Arial" w:hAnsi="Arial" w:cs="Arial"/>
        </w:rPr>
      </w:pPr>
    </w:p>
    <w:p w14:paraId="3597264F" w14:textId="77777777" w:rsidR="0034750B" w:rsidRPr="009040AF" w:rsidRDefault="0034750B" w:rsidP="0034750B">
      <w:pPr>
        <w:pStyle w:val="Heading3"/>
      </w:pPr>
      <w:bookmarkStart w:id="3" w:name="_Toc72157283"/>
      <w:r w:rsidRPr="009040AF">
        <w:t>The roles of civil society, the media and parliamentarians in health governance</w:t>
      </w:r>
      <w:bookmarkEnd w:id="3"/>
    </w:p>
    <w:p w14:paraId="02A57D0B" w14:textId="77777777" w:rsidR="0034750B" w:rsidRPr="00093C31" w:rsidRDefault="0034750B" w:rsidP="0034750B">
      <w:pPr>
        <w:spacing w:after="120"/>
        <w:jc w:val="both"/>
        <w:rPr>
          <w:rFonts w:ascii="Arial" w:hAnsi="Arial" w:cs="Arial"/>
          <w:sz w:val="22"/>
        </w:rPr>
      </w:pPr>
      <w:r w:rsidRPr="00093C31">
        <w:rPr>
          <w:rFonts w:ascii="Arial" w:hAnsi="Arial" w:cs="Arial"/>
          <w:sz w:val="22"/>
          <w:szCs w:val="22"/>
        </w:rPr>
        <w:t>UHC2030’s</w:t>
      </w:r>
      <w:r w:rsidRPr="00093C31">
        <w:rPr>
          <w:rFonts w:ascii="Arial" w:hAnsi="Arial" w:cs="Arial"/>
          <w:sz w:val="22"/>
        </w:rPr>
        <w:t xml:space="preserve"> joint vision for healthy lives </w:t>
      </w:r>
      <w:r w:rsidRPr="00093C31">
        <w:rPr>
          <w:rFonts w:ascii="Arial" w:hAnsi="Arial" w:cs="Arial"/>
          <w:i/>
          <w:sz w:val="22"/>
          <w:szCs w:val="22"/>
        </w:rPr>
        <w:t>(4)</w:t>
      </w:r>
      <w:r w:rsidRPr="00093C31">
        <w:rPr>
          <w:rFonts w:ascii="Arial" w:hAnsi="Arial" w:cs="Arial"/>
          <w:sz w:val="22"/>
          <w:szCs w:val="22"/>
        </w:rPr>
        <w:t xml:space="preserve"> establishes</w:t>
      </w:r>
      <w:r w:rsidRPr="00093C31">
        <w:rPr>
          <w:rFonts w:ascii="Arial" w:hAnsi="Arial" w:cs="Arial"/>
          <w:sz w:val="22"/>
        </w:rPr>
        <w:t xml:space="preserve"> that good governance is </w:t>
      </w:r>
      <w:r w:rsidRPr="00093C31">
        <w:rPr>
          <w:rFonts w:ascii="Arial" w:hAnsi="Arial" w:cs="Arial"/>
          <w:sz w:val="22"/>
          <w:szCs w:val="22"/>
        </w:rPr>
        <w:t>important</w:t>
      </w:r>
      <w:r w:rsidRPr="00093C31">
        <w:rPr>
          <w:rFonts w:ascii="Arial" w:hAnsi="Arial" w:cs="Arial"/>
          <w:sz w:val="22"/>
        </w:rPr>
        <w:t xml:space="preserve"> in moving towards UHC. In </w:t>
      </w:r>
      <w:r w:rsidRPr="00093C31">
        <w:rPr>
          <w:rFonts w:ascii="Arial" w:hAnsi="Arial" w:cs="Arial"/>
          <w:sz w:val="22"/>
          <w:szCs w:val="22"/>
        </w:rPr>
        <w:t>good</w:t>
      </w:r>
      <w:r w:rsidRPr="00093C31">
        <w:rPr>
          <w:rFonts w:ascii="Arial" w:hAnsi="Arial" w:cs="Arial"/>
          <w:sz w:val="22"/>
        </w:rPr>
        <w:t xml:space="preserve"> governance</w:t>
      </w:r>
      <w:r w:rsidRPr="00093C31">
        <w:rPr>
          <w:rFonts w:ascii="Arial" w:hAnsi="Arial" w:cs="Arial"/>
          <w:sz w:val="22"/>
          <w:szCs w:val="22"/>
        </w:rPr>
        <w:t>,</w:t>
      </w:r>
      <w:r w:rsidRPr="00093C31">
        <w:rPr>
          <w:rFonts w:ascii="Arial" w:hAnsi="Arial" w:cs="Arial"/>
          <w:sz w:val="22"/>
        </w:rPr>
        <w:t xml:space="preserve"> “all sectors are part of the UHC road to success and all stakeholders, beneficiaries, providers and the state must be involved in its design, implementation and follow-up</w:t>
      </w:r>
      <w:r w:rsidRPr="00093C31">
        <w:rPr>
          <w:rFonts w:ascii="Arial" w:hAnsi="Arial" w:cs="Arial"/>
          <w:sz w:val="22"/>
          <w:szCs w:val="22"/>
        </w:rPr>
        <w:t>”.</w:t>
      </w:r>
      <w:r w:rsidRPr="00093C31">
        <w:rPr>
          <w:rFonts w:ascii="Arial" w:hAnsi="Arial" w:cs="Arial"/>
          <w:sz w:val="22"/>
        </w:rPr>
        <w:t xml:space="preserve"> </w:t>
      </w:r>
    </w:p>
    <w:p w14:paraId="21BAC865" w14:textId="77777777" w:rsidR="0034750B" w:rsidRDefault="0034750B" w:rsidP="0034750B">
      <w:pPr>
        <w:spacing w:after="120"/>
        <w:jc w:val="both"/>
        <w:rPr>
          <w:rFonts w:ascii="Garamond" w:hAnsi="Garamond"/>
          <w:bCs/>
          <w:iCs/>
          <w:sz w:val="22"/>
        </w:rPr>
      </w:pPr>
      <w:r w:rsidRPr="00093C31">
        <w:rPr>
          <w:rFonts w:ascii="Arial" w:hAnsi="Arial" w:cs="Arial"/>
          <w:sz w:val="22"/>
        </w:rPr>
        <w:t xml:space="preserve">To guide collective action, UHC2030 has established a set of principles </w:t>
      </w:r>
      <w:r w:rsidRPr="00093C31">
        <w:rPr>
          <w:rFonts w:ascii="Arial" w:hAnsi="Arial" w:cs="Arial"/>
          <w:sz w:val="22"/>
          <w:szCs w:val="22"/>
        </w:rPr>
        <w:t>to which</w:t>
      </w:r>
      <w:r w:rsidRPr="00093C31">
        <w:rPr>
          <w:rFonts w:ascii="Arial" w:hAnsi="Arial" w:cs="Arial"/>
          <w:sz w:val="22"/>
        </w:rPr>
        <w:t xml:space="preserve"> all parties must commit on the road towards UHC. Two of these principles are particularly important for the </w:t>
      </w:r>
      <w:r w:rsidRPr="00093C31">
        <w:rPr>
          <w:rFonts w:ascii="Arial" w:hAnsi="Arial" w:cs="Arial"/>
          <w:sz w:val="22"/>
          <w:szCs w:val="22"/>
        </w:rPr>
        <w:t>purposes</w:t>
      </w:r>
      <w:r w:rsidRPr="00093C31">
        <w:rPr>
          <w:rFonts w:ascii="Arial" w:hAnsi="Arial" w:cs="Arial"/>
          <w:sz w:val="22"/>
        </w:rPr>
        <w:t xml:space="preserve"> of this </w:t>
      </w:r>
      <w:r w:rsidRPr="00093C31">
        <w:rPr>
          <w:rFonts w:ascii="Arial" w:hAnsi="Arial" w:cs="Arial"/>
          <w:sz w:val="22"/>
          <w:szCs w:val="22"/>
        </w:rPr>
        <w:t>toolkit</w:t>
      </w:r>
      <w:r w:rsidRPr="00093C31">
        <w:rPr>
          <w:rFonts w:ascii="Arial" w:hAnsi="Arial" w:cs="Arial"/>
          <w:sz w:val="22"/>
        </w:rPr>
        <w:t>:</w:t>
      </w:r>
      <w:r w:rsidRPr="00396BAD">
        <w:rPr>
          <w:rFonts w:ascii="Garamond" w:hAnsi="Garamond"/>
          <w:bCs/>
          <w:iCs/>
          <w:sz w:val="22"/>
        </w:rPr>
        <w:t xml:space="preserve"> </w:t>
      </w:r>
    </w:p>
    <w:p w14:paraId="15A6836B" w14:textId="77777777" w:rsidR="0034750B" w:rsidRPr="00093C31" w:rsidRDefault="0034750B" w:rsidP="0034750B">
      <w:pPr>
        <w:spacing w:after="120"/>
        <w:ind w:left="426" w:right="616"/>
        <w:jc w:val="both"/>
        <w:rPr>
          <w:rFonts w:ascii="Arial" w:hAnsi="Arial" w:cs="Arial"/>
          <w:b/>
          <w:sz w:val="22"/>
        </w:rPr>
      </w:pPr>
      <w:r w:rsidRPr="00093C31">
        <w:rPr>
          <w:rFonts w:ascii="Arial" w:hAnsi="Arial" w:cs="Arial"/>
          <w:i/>
          <w:sz w:val="22"/>
        </w:rPr>
        <w:t>Transparency and accountability for results</w:t>
      </w:r>
      <w:r w:rsidRPr="00093C31">
        <w:rPr>
          <w:rFonts w:ascii="Arial" w:hAnsi="Arial" w:cs="Arial"/>
          <w:i/>
          <w:sz w:val="22"/>
          <w:szCs w:val="22"/>
        </w:rPr>
        <w:t>:</w:t>
      </w:r>
      <w:r w:rsidRPr="00093C31">
        <w:rPr>
          <w:rFonts w:ascii="Arial" w:hAnsi="Arial" w:cs="Arial"/>
          <w:b/>
          <w:sz w:val="22"/>
          <w:szCs w:val="22"/>
        </w:rPr>
        <w:t xml:space="preserve"> </w:t>
      </w:r>
      <w:r w:rsidRPr="00093C31">
        <w:rPr>
          <w:rFonts w:ascii="Arial" w:hAnsi="Arial" w:cs="Arial"/>
          <w:sz w:val="22"/>
        </w:rPr>
        <w:t>Transparency and accountability are key attributes of governance and determine the performance of a health system if they lead to adjustments in policies, strategies, and resource allocation. Transparency in decision-making, monitoring and review, as well as participation by populations, is pivotal for accountability. Transparency requires access and availability of citizens to budget information. Open and participative decision-making on health policies and priorities can promote accountability. Therefore, strong parliaments and institutions with adequate capacities are needed to hold governments to account</w:t>
      </w:r>
      <w:r w:rsidRPr="00093C31">
        <w:rPr>
          <w:rFonts w:ascii="Arial" w:hAnsi="Arial" w:cs="Arial"/>
          <w:sz w:val="22"/>
          <w:szCs w:val="22"/>
        </w:rPr>
        <w:t>.</w:t>
      </w:r>
    </w:p>
    <w:p w14:paraId="300C573F" w14:textId="77777777" w:rsidR="0034750B" w:rsidRDefault="0034750B" w:rsidP="0034750B">
      <w:pPr>
        <w:spacing w:after="120"/>
        <w:ind w:left="426" w:right="616"/>
        <w:jc w:val="both"/>
        <w:rPr>
          <w:rFonts w:ascii="Arial" w:hAnsi="Arial" w:cs="Arial"/>
          <w:sz w:val="22"/>
          <w:szCs w:val="22"/>
        </w:rPr>
      </w:pPr>
      <w:r w:rsidRPr="00093C31">
        <w:rPr>
          <w:rFonts w:ascii="Arial" w:hAnsi="Arial" w:cs="Arial"/>
          <w:i/>
          <w:sz w:val="22"/>
        </w:rPr>
        <w:t>Making health systems everybody’s business- with engagement of citizens, communities, civil society and private sector</w:t>
      </w:r>
      <w:r w:rsidRPr="00093C31">
        <w:rPr>
          <w:rFonts w:ascii="Arial" w:hAnsi="Arial" w:cs="Arial"/>
          <w:i/>
          <w:sz w:val="22"/>
          <w:szCs w:val="22"/>
        </w:rPr>
        <w:t xml:space="preserve">: </w:t>
      </w:r>
      <w:r w:rsidRPr="00093C31">
        <w:rPr>
          <w:rFonts w:ascii="Arial" w:hAnsi="Arial" w:cs="Arial"/>
          <w:sz w:val="22"/>
        </w:rPr>
        <w:t>Civil society participation has to be anchored systematically in Health Systems Strengthening action and enable people-</w:t>
      </w:r>
      <w:r w:rsidRPr="00093C31">
        <w:rPr>
          <w:rFonts w:ascii="Arial" w:hAnsi="Arial" w:cs="Arial"/>
          <w:sz w:val="22"/>
          <w:szCs w:val="22"/>
        </w:rPr>
        <w:t>centred</w:t>
      </w:r>
      <w:r w:rsidRPr="00093C31">
        <w:rPr>
          <w:rFonts w:ascii="Arial" w:hAnsi="Arial" w:cs="Arial"/>
          <w:sz w:val="22"/>
        </w:rPr>
        <w:t xml:space="preserve"> health services. Mechanisms for civil society engagements, such as accessible platforms for citizens’ voice, as well as responsiveness and accountability to citizens’ needs are relevant in this regard</w:t>
      </w:r>
      <w:r w:rsidRPr="00093C31">
        <w:rPr>
          <w:rFonts w:ascii="Arial" w:hAnsi="Arial" w:cs="Arial"/>
          <w:sz w:val="22"/>
          <w:szCs w:val="22"/>
        </w:rPr>
        <w:t>.</w:t>
      </w:r>
    </w:p>
    <w:p w14:paraId="647BC847" w14:textId="77777777" w:rsidR="0034750B" w:rsidRPr="00396BAD" w:rsidRDefault="0034750B" w:rsidP="0034750B">
      <w:pPr>
        <w:spacing w:after="120"/>
        <w:ind w:right="616"/>
        <w:jc w:val="both"/>
        <w:rPr>
          <w:rFonts w:ascii="Arial" w:hAnsi="Arial" w:cs="Arial"/>
          <w:iCs/>
          <w:sz w:val="22"/>
        </w:rPr>
      </w:pPr>
      <w:r w:rsidRPr="00396BAD">
        <w:rPr>
          <w:rFonts w:ascii="Arial" w:hAnsi="Arial" w:cs="Arial"/>
          <w:iCs/>
          <w:sz w:val="22"/>
        </w:rPr>
        <w:t>The agenda for sustainable development established the attainment of UHC as part and parcel of the overarching goal of equity, ensuring that no one is left behind.</w:t>
      </w:r>
    </w:p>
    <w:p w14:paraId="7BBF3510" w14:textId="77777777" w:rsidR="0034750B" w:rsidRPr="00093C31" w:rsidRDefault="0034750B" w:rsidP="0034750B">
      <w:pPr>
        <w:spacing w:after="120"/>
        <w:jc w:val="both"/>
        <w:rPr>
          <w:rFonts w:ascii="Arial" w:hAnsi="Arial" w:cs="Arial"/>
          <w:sz w:val="22"/>
        </w:rPr>
      </w:pPr>
      <w:r w:rsidRPr="00093C31">
        <w:rPr>
          <w:rFonts w:ascii="Arial" w:hAnsi="Arial" w:cs="Arial"/>
          <w:sz w:val="22"/>
        </w:rPr>
        <w:t xml:space="preserve">In order for these principles to be put into practice and be applicable to action points, civil society, the media and parliamentarians </w:t>
      </w:r>
      <w:r w:rsidRPr="00093C31">
        <w:rPr>
          <w:rFonts w:ascii="Arial" w:hAnsi="Arial" w:cs="Arial"/>
          <w:sz w:val="22"/>
          <w:szCs w:val="22"/>
        </w:rPr>
        <w:t>must strengthen</w:t>
      </w:r>
      <w:r w:rsidRPr="00093C31">
        <w:rPr>
          <w:rFonts w:ascii="Arial" w:hAnsi="Arial" w:cs="Arial"/>
          <w:sz w:val="22"/>
        </w:rPr>
        <w:t xml:space="preserve"> their knowledge and </w:t>
      </w:r>
      <w:r w:rsidRPr="00093C31">
        <w:rPr>
          <w:rFonts w:ascii="Arial" w:hAnsi="Arial" w:cs="Arial"/>
          <w:sz w:val="22"/>
          <w:szCs w:val="22"/>
        </w:rPr>
        <w:t>capacity</w:t>
      </w:r>
      <w:r w:rsidRPr="00093C31">
        <w:rPr>
          <w:rFonts w:ascii="Arial" w:hAnsi="Arial" w:cs="Arial"/>
          <w:sz w:val="22"/>
        </w:rPr>
        <w:t xml:space="preserve"> to monitor </w:t>
      </w:r>
      <w:r w:rsidRPr="00093C31">
        <w:rPr>
          <w:rFonts w:ascii="Arial" w:hAnsi="Arial" w:cs="Arial"/>
          <w:sz w:val="22"/>
          <w:szCs w:val="22"/>
        </w:rPr>
        <w:t xml:space="preserve">the </w:t>
      </w:r>
      <w:r w:rsidRPr="00093C31">
        <w:rPr>
          <w:rFonts w:ascii="Arial" w:hAnsi="Arial" w:cs="Arial"/>
          <w:sz w:val="22"/>
        </w:rPr>
        <w:t xml:space="preserve">commitments made by </w:t>
      </w:r>
      <w:r w:rsidRPr="00093C31">
        <w:rPr>
          <w:rFonts w:ascii="Arial" w:hAnsi="Arial" w:cs="Arial"/>
          <w:sz w:val="22"/>
          <w:szCs w:val="22"/>
        </w:rPr>
        <w:t>states</w:t>
      </w:r>
      <w:r w:rsidRPr="00093C31">
        <w:rPr>
          <w:rFonts w:ascii="Arial" w:hAnsi="Arial" w:cs="Arial"/>
          <w:sz w:val="22"/>
        </w:rPr>
        <w:t xml:space="preserve"> for the achievement of UHC. </w:t>
      </w:r>
      <w:r w:rsidRPr="00093C31">
        <w:rPr>
          <w:rFonts w:ascii="Arial" w:hAnsi="Arial" w:cs="Arial"/>
          <w:sz w:val="22"/>
          <w:szCs w:val="22"/>
        </w:rPr>
        <w:t>As</w:t>
      </w:r>
      <w:r w:rsidRPr="00093C31">
        <w:rPr>
          <w:rFonts w:ascii="Arial" w:hAnsi="Arial" w:cs="Arial"/>
          <w:sz w:val="22"/>
        </w:rPr>
        <w:t xml:space="preserve"> it has been demonstrated that UHC is best attained through increased</w:t>
      </w:r>
      <w:r w:rsidRPr="00093C31">
        <w:rPr>
          <w:rFonts w:ascii="Arial" w:hAnsi="Arial" w:cs="Arial"/>
          <w:sz w:val="22"/>
          <w:szCs w:val="22"/>
        </w:rPr>
        <w:t>,</w:t>
      </w:r>
      <w:r w:rsidRPr="00093C31">
        <w:rPr>
          <w:rFonts w:ascii="Arial" w:hAnsi="Arial" w:cs="Arial"/>
          <w:sz w:val="22"/>
        </w:rPr>
        <w:t xml:space="preserve"> improved government spending and strong, transparent</w:t>
      </w:r>
      <w:r w:rsidRPr="00093C31">
        <w:rPr>
          <w:rFonts w:ascii="Arial" w:hAnsi="Arial" w:cs="Arial"/>
          <w:sz w:val="22"/>
          <w:szCs w:val="22"/>
        </w:rPr>
        <w:t>,</w:t>
      </w:r>
      <w:r w:rsidRPr="00093C31">
        <w:rPr>
          <w:rFonts w:ascii="Arial" w:hAnsi="Arial" w:cs="Arial"/>
          <w:sz w:val="22"/>
        </w:rPr>
        <w:t xml:space="preserve"> accountable </w:t>
      </w:r>
      <w:r w:rsidRPr="00093C31">
        <w:rPr>
          <w:rFonts w:ascii="Arial" w:hAnsi="Arial" w:cs="Arial"/>
          <w:sz w:val="22"/>
          <w:szCs w:val="22"/>
        </w:rPr>
        <w:t>public financial management</w:t>
      </w:r>
      <w:r w:rsidRPr="00093C31">
        <w:rPr>
          <w:rFonts w:ascii="Arial" w:hAnsi="Arial" w:cs="Arial"/>
          <w:sz w:val="22"/>
        </w:rPr>
        <w:t xml:space="preserve"> (PFM), these stakeholders </w:t>
      </w:r>
      <w:r w:rsidRPr="00093C31">
        <w:rPr>
          <w:rFonts w:ascii="Arial" w:hAnsi="Arial" w:cs="Arial"/>
          <w:sz w:val="22"/>
          <w:szCs w:val="22"/>
        </w:rPr>
        <w:t>must</w:t>
      </w:r>
      <w:r w:rsidRPr="00093C31">
        <w:rPr>
          <w:rFonts w:ascii="Arial" w:hAnsi="Arial" w:cs="Arial"/>
          <w:sz w:val="22"/>
        </w:rPr>
        <w:t xml:space="preserve"> be involved in budget analysis and advocacy. </w:t>
      </w:r>
    </w:p>
    <w:p w14:paraId="7163AEE1" w14:textId="77777777" w:rsidR="0034750B" w:rsidRPr="00093C31" w:rsidRDefault="0034750B" w:rsidP="0034750B">
      <w:pPr>
        <w:spacing w:after="120"/>
        <w:jc w:val="both"/>
        <w:rPr>
          <w:rFonts w:ascii="Arial" w:hAnsi="Arial" w:cs="Arial"/>
        </w:rPr>
      </w:pPr>
    </w:p>
    <w:p w14:paraId="1838E88C" w14:textId="77777777" w:rsidR="0034750B" w:rsidRPr="00093C31" w:rsidRDefault="0034750B" w:rsidP="0034750B">
      <w:pPr>
        <w:pStyle w:val="Heading3"/>
      </w:pPr>
      <w:bookmarkStart w:id="4" w:name="_Toc20916321"/>
      <w:bookmarkStart w:id="5" w:name="_Toc57256222"/>
      <w:bookmarkStart w:id="6" w:name="_Toc72157284"/>
      <w:r w:rsidRPr="00093C31">
        <w:t>What is a toolkit?</w:t>
      </w:r>
      <w:bookmarkEnd w:id="4"/>
      <w:bookmarkEnd w:id="5"/>
      <w:bookmarkEnd w:id="6"/>
    </w:p>
    <w:p w14:paraId="5A3E119C" w14:textId="77777777" w:rsidR="0034750B" w:rsidRPr="00093C31" w:rsidRDefault="0034750B" w:rsidP="0034750B">
      <w:pPr>
        <w:spacing w:after="120"/>
        <w:jc w:val="both"/>
        <w:rPr>
          <w:rFonts w:ascii="Arial" w:hAnsi="Arial" w:cs="Arial"/>
          <w:sz w:val="22"/>
        </w:rPr>
      </w:pPr>
      <w:r w:rsidRPr="00093C31">
        <w:rPr>
          <w:rFonts w:ascii="Arial" w:hAnsi="Arial" w:cs="Arial"/>
          <w:sz w:val="22"/>
        </w:rPr>
        <w:t xml:space="preserve">The best way to think </w:t>
      </w:r>
      <w:r w:rsidRPr="00093C31">
        <w:rPr>
          <w:rFonts w:ascii="Arial" w:hAnsi="Arial" w:cs="Arial"/>
          <w:sz w:val="22"/>
          <w:szCs w:val="22"/>
        </w:rPr>
        <w:t>of a</w:t>
      </w:r>
      <w:r w:rsidRPr="00093C31">
        <w:rPr>
          <w:rFonts w:ascii="Arial" w:hAnsi="Arial" w:cs="Arial"/>
          <w:sz w:val="22"/>
        </w:rPr>
        <w:t xml:space="preserve"> toolkit is </w:t>
      </w:r>
      <w:r w:rsidRPr="00093C31">
        <w:rPr>
          <w:rFonts w:ascii="Arial" w:hAnsi="Arial" w:cs="Arial"/>
          <w:sz w:val="22"/>
          <w:szCs w:val="22"/>
        </w:rPr>
        <w:t>as</w:t>
      </w:r>
      <w:r w:rsidRPr="00093C31">
        <w:rPr>
          <w:rFonts w:ascii="Arial" w:hAnsi="Arial" w:cs="Arial"/>
          <w:sz w:val="22"/>
        </w:rPr>
        <w:t xml:space="preserve"> a real box of tools. When you first open it, you may look through the whole box to find out what is inside. After that, you seldom need all the tools at once: you use them as you need them. You might use the saw and the hammer very often when you are building a house</w:t>
      </w:r>
      <w:r w:rsidRPr="00093C31">
        <w:rPr>
          <w:rFonts w:ascii="Arial" w:hAnsi="Arial" w:cs="Arial"/>
          <w:sz w:val="22"/>
          <w:szCs w:val="22"/>
        </w:rPr>
        <w:t>; for</w:t>
      </w:r>
      <w:r w:rsidRPr="00093C31">
        <w:rPr>
          <w:rFonts w:ascii="Arial" w:hAnsi="Arial" w:cs="Arial"/>
          <w:sz w:val="22"/>
        </w:rPr>
        <w:t xml:space="preserve"> another task, you </w:t>
      </w:r>
      <w:r w:rsidRPr="00093C31">
        <w:rPr>
          <w:rFonts w:ascii="Arial" w:hAnsi="Arial" w:cs="Arial"/>
          <w:sz w:val="22"/>
          <w:szCs w:val="22"/>
        </w:rPr>
        <w:t>might</w:t>
      </w:r>
      <w:r w:rsidRPr="00093C31">
        <w:rPr>
          <w:rFonts w:ascii="Arial" w:hAnsi="Arial" w:cs="Arial"/>
          <w:sz w:val="22"/>
        </w:rPr>
        <w:t xml:space="preserve"> need the screwdriver and pliers</w:t>
      </w:r>
      <w:r w:rsidRPr="00093C31">
        <w:rPr>
          <w:rFonts w:ascii="Arial" w:hAnsi="Arial" w:cs="Arial"/>
          <w:sz w:val="22"/>
          <w:szCs w:val="22"/>
        </w:rPr>
        <w:t>; you may never use some</w:t>
      </w:r>
      <w:r w:rsidRPr="00093C31">
        <w:rPr>
          <w:rFonts w:ascii="Arial" w:hAnsi="Arial" w:cs="Arial"/>
          <w:sz w:val="22"/>
        </w:rPr>
        <w:t xml:space="preserve"> tools in your box. Similarly, this toolkit is intended to give you options. It invites you to select and combine elements that suit your work in your context</w:t>
      </w:r>
      <w:r w:rsidRPr="00093C31">
        <w:rPr>
          <w:rFonts w:ascii="Arial" w:hAnsi="Arial" w:cs="Arial"/>
          <w:sz w:val="22"/>
          <w:szCs w:val="22"/>
        </w:rPr>
        <w:t>,</w:t>
      </w:r>
      <w:r w:rsidRPr="00093C31">
        <w:rPr>
          <w:rFonts w:ascii="Arial" w:hAnsi="Arial" w:cs="Arial"/>
          <w:sz w:val="22"/>
        </w:rPr>
        <w:t xml:space="preserve"> as you need </w:t>
      </w:r>
      <w:r w:rsidRPr="00093C31">
        <w:rPr>
          <w:rFonts w:ascii="Arial" w:hAnsi="Arial" w:cs="Arial"/>
          <w:sz w:val="22"/>
          <w:szCs w:val="22"/>
        </w:rPr>
        <w:t>them</w:t>
      </w:r>
      <w:r w:rsidRPr="00093C31">
        <w:rPr>
          <w:rFonts w:ascii="Arial" w:hAnsi="Arial" w:cs="Arial"/>
          <w:sz w:val="22"/>
        </w:rPr>
        <w:t>. The toolkit is not designed to be used from the first page to the last page</w:t>
      </w:r>
      <w:r w:rsidRPr="00093C31">
        <w:rPr>
          <w:rFonts w:ascii="Arial" w:hAnsi="Arial" w:cs="Arial"/>
          <w:sz w:val="22"/>
          <w:szCs w:val="22"/>
        </w:rPr>
        <w:t>; rather,</w:t>
      </w:r>
      <w:r w:rsidRPr="00093C31">
        <w:rPr>
          <w:rFonts w:ascii="Arial" w:hAnsi="Arial" w:cs="Arial"/>
          <w:sz w:val="22"/>
        </w:rPr>
        <w:t xml:space="preserve"> the user should pull out tools to suit the audience, purpose and relevance. </w:t>
      </w:r>
    </w:p>
    <w:p w14:paraId="1A3663D8" w14:textId="77777777" w:rsidR="0034750B" w:rsidRPr="00093C31" w:rsidRDefault="0034750B" w:rsidP="0034750B">
      <w:pPr>
        <w:spacing w:after="120"/>
        <w:outlineLvl w:val="2"/>
        <w:rPr>
          <w:rFonts w:ascii="Arial" w:hAnsi="Arial" w:cs="Arial"/>
          <w:b/>
          <w:smallCaps/>
          <w:sz w:val="22"/>
          <w:szCs w:val="22"/>
        </w:rPr>
      </w:pPr>
      <w:bookmarkStart w:id="7" w:name="_Toc20916322"/>
      <w:bookmarkStart w:id="8" w:name="_Toc57256223"/>
    </w:p>
    <w:p w14:paraId="33A1049A" w14:textId="77777777" w:rsidR="0034750B" w:rsidRPr="00093C31" w:rsidRDefault="0034750B" w:rsidP="0034750B">
      <w:pPr>
        <w:pStyle w:val="Heading3"/>
      </w:pPr>
      <w:bookmarkStart w:id="9" w:name="_Toc72157285"/>
      <w:r w:rsidRPr="00093C31">
        <w:t xml:space="preserve">Why this </w:t>
      </w:r>
      <w:r w:rsidRPr="00093C31">
        <w:rPr>
          <w:szCs w:val="22"/>
        </w:rPr>
        <w:t>toolkit</w:t>
      </w:r>
      <w:r w:rsidRPr="00093C31">
        <w:t>?</w:t>
      </w:r>
      <w:bookmarkEnd w:id="7"/>
      <w:bookmarkEnd w:id="8"/>
      <w:bookmarkEnd w:id="9"/>
    </w:p>
    <w:p w14:paraId="433A4516" w14:textId="77777777" w:rsidR="0034750B" w:rsidRPr="00093C31" w:rsidRDefault="0034750B" w:rsidP="0034750B">
      <w:pPr>
        <w:spacing w:after="120"/>
        <w:jc w:val="both"/>
        <w:rPr>
          <w:rFonts w:ascii="Arial" w:hAnsi="Arial" w:cs="Arial"/>
          <w:sz w:val="22"/>
        </w:rPr>
      </w:pPr>
      <w:bookmarkStart w:id="10" w:name="_Hlk64031566"/>
      <w:r w:rsidRPr="00093C31">
        <w:rPr>
          <w:rFonts w:ascii="Arial" w:hAnsi="Arial" w:cs="Arial"/>
          <w:sz w:val="22"/>
        </w:rPr>
        <w:t xml:space="preserve">The objective of </w:t>
      </w:r>
      <w:r w:rsidRPr="00093C31">
        <w:rPr>
          <w:rFonts w:ascii="Arial" w:hAnsi="Arial" w:cs="Arial"/>
          <w:sz w:val="22"/>
          <w:szCs w:val="22"/>
        </w:rPr>
        <w:t>the</w:t>
      </w:r>
      <w:r w:rsidRPr="00093C31">
        <w:rPr>
          <w:rFonts w:ascii="Arial" w:hAnsi="Arial" w:cs="Arial"/>
          <w:sz w:val="22"/>
        </w:rPr>
        <w:t xml:space="preserve"> toolkit is to strengthen the capacities of </w:t>
      </w:r>
      <w:r w:rsidRPr="00093C31">
        <w:rPr>
          <w:rFonts w:ascii="Arial" w:hAnsi="Arial" w:cs="Arial"/>
          <w:sz w:val="22"/>
          <w:szCs w:val="22"/>
        </w:rPr>
        <w:t>CSOs</w:t>
      </w:r>
      <w:r w:rsidRPr="00093C31">
        <w:rPr>
          <w:rFonts w:ascii="Arial" w:hAnsi="Arial" w:cs="Arial"/>
          <w:sz w:val="22"/>
        </w:rPr>
        <w:t xml:space="preserve">, the media and parliaments for health budget advocacy </w:t>
      </w:r>
      <w:r w:rsidRPr="00093C31">
        <w:rPr>
          <w:rFonts w:ascii="Arial" w:hAnsi="Arial" w:cs="Arial"/>
          <w:sz w:val="22"/>
          <w:szCs w:val="22"/>
        </w:rPr>
        <w:t xml:space="preserve">by </w:t>
      </w:r>
      <w:r w:rsidRPr="00093C31">
        <w:rPr>
          <w:rFonts w:ascii="Arial" w:hAnsi="Arial" w:cs="Arial"/>
          <w:b/>
          <w:bCs/>
          <w:sz w:val="22"/>
          <w:szCs w:val="22"/>
        </w:rPr>
        <w:t>promoting</w:t>
      </w:r>
      <w:r w:rsidRPr="00093C31">
        <w:rPr>
          <w:rFonts w:ascii="Arial" w:hAnsi="Arial" w:cs="Arial"/>
          <w:b/>
          <w:sz w:val="22"/>
        </w:rPr>
        <w:t xml:space="preserve"> coherence</w:t>
      </w:r>
      <w:r w:rsidRPr="00093C31">
        <w:rPr>
          <w:rFonts w:ascii="Arial" w:hAnsi="Arial" w:cs="Arial"/>
          <w:sz w:val="22"/>
        </w:rPr>
        <w:t xml:space="preserve"> and </w:t>
      </w:r>
      <w:r w:rsidRPr="00093C31">
        <w:rPr>
          <w:rFonts w:ascii="Arial" w:hAnsi="Arial" w:cs="Arial"/>
          <w:b/>
          <w:sz w:val="22"/>
        </w:rPr>
        <w:t xml:space="preserve">constructive multi-stakeholder collaboration </w:t>
      </w:r>
      <w:r w:rsidRPr="00093C31">
        <w:rPr>
          <w:rFonts w:ascii="Arial" w:hAnsi="Arial" w:cs="Arial"/>
          <w:sz w:val="22"/>
        </w:rPr>
        <w:t>to hold governments to account for the level and use of funding allocated to health. It provides tools and materials to strengthen country</w:t>
      </w:r>
      <w:r w:rsidRPr="00093C31">
        <w:rPr>
          <w:rFonts w:ascii="Arial" w:hAnsi="Arial" w:cs="Arial"/>
          <w:sz w:val="22"/>
          <w:szCs w:val="22"/>
        </w:rPr>
        <w:t>-</w:t>
      </w:r>
      <w:r w:rsidRPr="00093C31">
        <w:rPr>
          <w:rFonts w:ascii="Arial" w:hAnsi="Arial" w:cs="Arial"/>
          <w:sz w:val="22"/>
        </w:rPr>
        <w:t xml:space="preserve">level analysis, advocacy and accountability </w:t>
      </w:r>
      <w:r w:rsidRPr="00093C31">
        <w:rPr>
          <w:rFonts w:ascii="Arial" w:hAnsi="Arial" w:cs="Arial"/>
          <w:sz w:val="22"/>
          <w:szCs w:val="22"/>
        </w:rPr>
        <w:t>for</w:t>
      </w:r>
      <w:r w:rsidRPr="00093C31">
        <w:rPr>
          <w:rFonts w:ascii="Arial" w:hAnsi="Arial" w:cs="Arial"/>
          <w:sz w:val="22"/>
        </w:rPr>
        <w:t xml:space="preserve"> UHC </w:t>
      </w:r>
      <w:r w:rsidRPr="00093C31">
        <w:rPr>
          <w:rFonts w:ascii="Arial" w:hAnsi="Arial" w:cs="Arial"/>
          <w:sz w:val="22"/>
          <w:szCs w:val="22"/>
        </w:rPr>
        <w:t>from</w:t>
      </w:r>
      <w:r w:rsidRPr="00093C31">
        <w:rPr>
          <w:rFonts w:ascii="Arial" w:hAnsi="Arial" w:cs="Arial"/>
          <w:sz w:val="22"/>
        </w:rPr>
        <w:t xml:space="preserve"> a budget perspective. </w:t>
      </w:r>
      <w:bookmarkEnd w:id="10"/>
      <w:r w:rsidRPr="00093C31">
        <w:rPr>
          <w:rFonts w:ascii="Arial" w:hAnsi="Arial" w:cs="Arial"/>
          <w:sz w:val="22"/>
        </w:rPr>
        <w:t>The aims of these resources are to:</w:t>
      </w:r>
    </w:p>
    <w:p w14:paraId="2D793F3A" w14:textId="77777777" w:rsidR="0034750B" w:rsidRPr="00093C31" w:rsidRDefault="0034750B" w:rsidP="0034750B">
      <w:pPr>
        <w:numPr>
          <w:ilvl w:val="0"/>
          <w:numId w:val="3"/>
        </w:numPr>
        <w:ind w:left="567" w:hanging="357"/>
        <w:jc w:val="both"/>
        <w:rPr>
          <w:rFonts w:ascii="Arial" w:hAnsi="Arial" w:cs="Arial"/>
          <w:sz w:val="22"/>
        </w:rPr>
      </w:pPr>
      <w:r w:rsidRPr="00093C31">
        <w:rPr>
          <w:rFonts w:ascii="Arial" w:hAnsi="Arial" w:cs="Arial"/>
          <w:sz w:val="22"/>
          <w:szCs w:val="22"/>
        </w:rPr>
        <w:t>show</w:t>
      </w:r>
      <w:r w:rsidRPr="00093C31">
        <w:rPr>
          <w:rFonts w:ascii="Arial" w:hAnsi="Arial" w:cs="Arial"/>
          <w:sz w:val="22"/>
        </w:rPr>
        <w:t xml:space="preserve"> a clear link between public budget analysis in UHC evidence-based advocacy and accountability</w:t>
      </w:r>
      <w:r w:rsidRPr="00093C31">
        <w:rPr>
          <w:rFonts w:ascii="Arial" w:hAnsi="Arial" w:cs="Arial"/>
          <w:sz w:val="22"/>
          <w:szCs w:val="22"/>
        </w:rPr>
        <w:t>;</w:t>
      </w:r>
    </w:p>
    <w:p w14:paraId="1F7B4C92" w14:textId="77777777" w:rsidR="0034750B" w:rsidRPr="00093C31" w:rsidRDefault="0034750B" w:rsidP="0034750B">
      <w:pPr>
        <w:numPr>
          <w:ilvl w:val="0"/>
          <w:numId w:val="3"/>
        </w:numPr>
        <w:ind w:left="567" w:hanging="357"/>
        <w:jc w:val="both"/>
        <w:rPr>
          <w:rFonts w:ascii="Arial" w:hAnsi="Arial" w:cs="Arial"/>
          <w:sz w:val="22"/>
        </w:rPr>
      </w:pPr>
      <w:r w:rsidRPr="00093C31">
        <w:rPr>
          <w:rFonts w:ascii="Arial" w:hAnsi="Arial" w:cs="Arial"/>
          <w:sz w:val="22"/>
          <w:szCs w:val="22"/>
        </w:rPr>
        <w:t>provide</w:t>
      </w:r>
      <w:r w:rsidRPr="00093C31">
        <w:rPr>
          <w:rFonts w:ascii="Arial" w:hAnsi="Arial" w:cs="Arial"/>
          <w:sz w:val="22"/>
        </w:rPr>
        <w:t xml:space="preserve"> key terms, approaches</w:t>
      </w:r>
      <w:r w:rsidRPr="00093C31">
        <w:rPr>
          <w:rFonts w:ascii="Arial" w:hAnsi="Arial" w:cs="Arial"/>
          <w:sz w:val="22"/>
          <w:szCs w:val="22"/>
        </w:rPr>
        <w:t xml:space="preserve"> and</w:t>
      </w:r>
      <w:r w:rsidRPr="00093C31">
        <w:rPr>
          <w:rFonts w:ascii="Arial" w:hAnsi="Arial" w:cs="Arial"/>
          <w:sz w:val="22"/>
        </w:rPr>
        <w:t xml:space="preserve"> strategies that are used in budget analysis for UHC, in order to plan advocacy and accountability</w:t>
      </w:r>
      <w:r w:rsidRPr="00093C31">
        <w:rPr>
          <w:rFonts w:ascii="Arial" w:hAnsi="Arial" w:cs="Arial"/>
          <w:sz w:val="22"/>
          <w:szCs w:val="22"/>
        </w:rPr>
        <w:t>;</w:t>
      </w:r>
      <w:r w:rsidRPr="00093C31">
        <w:rPr>
          <w:rFonts w:ascii="Arial" w:hAnsi="Arial" w:cs="Arial"/>
          <w:sz w:val="22"/>
        </w:rPr>
        <w:t xml:space="preserve"> </w:t>
      </w:r>
    </w:p>
    <w:p w14:paraId="58352EDD" w14:textId="77777777" w:rsidR="0034750B" w:rsidRPr="00093C31" w:rsidRDefault="0034750B" w:rsidP="0034750B">
      <w:pPr>
        <w:numPr>
          <w:ilvl w:val="0"/>
          <w:numId w:val="3"/>
        </w:numPr>
        <w:ind w:left="567" w:hanging="357"/>
        <w:jc w:val="both"/>
        <w:rPr>
          <w:rFonts w:ascii="Arial" w:hAnsi="Arial" w:cs="Arial"/>
          <w:sz w:val="22"/>
        </w:rPr>
      </w:pPr>
      <w:r w:rsidRPr="00093C31">
        <w:rPr>
          <w:rFonts w:ascii="Arial" w:hAnsi="Arial" w:cs="Arial"/>
          <w:sz w:val="22"/>
          <w:szCs w:val="22"/>
        </w:rPr>
        <w:t>emphasize</w:t>
      </w:r>
      <w:r w:rsidRPr="00093C31">
        <w:rPr>
          <w:rFonts w:ascii="Arial" w:hAnsi="Arial" w:cs="Arial"/>
          <w:sz w:val="22"/>
        </w:rPr>
        <w:t xml:space="preserve"> the importance of </w:t>
      </w:r>
      <w:r w:rsidRPr="00093C31">
        <w:rPr>
          <w:rFonts w:ascii="Arial" w:hAnsi="Arial" w:cs="Arial"/>
          <w:sz w:val="22"/>
          <w:szCs w:val="22"/>
        </w:rPr>
        <w:t>multisectoral</w:t>
      </w:r>
      <w:r w:rsidRPr="00093C31">
        <w:rPr>
          <w:rFonts w:ascii="Arial" w:hAnsi="Arial" w:cs="Arial"/>
          <w:sz w:val="22"/>
        </w:rPr>
        <w:t xml:space="preserve"> collaboration by bringing advocacy and accountability perspectives </w:t>
      </w:r>
      <w:r w:rsidRPr="00093C31">
        <w:rPr>
          <w:rFonts w:ascii="Arial" w:hAnsi="Arial" w:cs="Arial"/>
          <w:sz w:val="22"/>
          <w:szCs w:val="22"/>
        </w:rPr>
        <w:t>to the</w:t>
      </w:r>
      <w:r w:rsidRPr="00093C31">
        <w:rPr>
          <w:rFonts w:ascii="Arial" w:hAnsi="Arial" w:cs="Arial"/>
          <w:sz w:val="22"/>
        </w:rPr>
        <w:t xml:space="preserve"> media, </w:t>
      </w:r>
      <w:r w:rsidRPr="00093C31">
        <w:rPr>
          <w:rFonts w:ascii="Arial" w:hAnsi="Arial" w:cs="Arial"/>
          <w:sz w:val="22"/>
          <w:szCs w:val="22"/>
        </w:rPr>
        <w:t>parliamentarians</w:t>
      </w:r>
      <w:r w:rsidRPr="00093C31">
        <w:rPr>
          <w:rFonts w:ascii="Arial" w:hAnsi="Arial" w:cs="Arial"/>
          <w:sz w:val="22"/>
        </w:rPr>
        <w:t xml:space="preserve"> and civil society</w:t>
      </w:r>
      <w:r w:rsidRPr="00093C31">
        <w:rPr>
          <w:rFonts w:ascii="Arial" w:hAnsi="Arial" w:cs="Arial"/>
          <w:sz w:val="22"/>
          <w:szCs w:val="22"/>
        </w:rPr>
        <w:t>; and</w:t>
      </w:r>
    </w:p>
    <w:p w14:paraId="0B53CC79" w14:textId="77777777" w:rsidR="0034750B" w:rsidRPr="00093C31" w:rsidRDefault="0034750B" w:rsidP="0034750B">
      <w:pPr>
        <w:numPr>
          <w:ilvl w:val="0"/>
          <w:numId w:val="3"/>
        </w:numPr>
        <w:spacing w:after="120"/>
        <w:ind w:left="567"/>
        <w:jc w:val="both"/>
        <w:rPr>
          <w:rFonts w:ascii="Arial" w:hAnsi="Arial" w:cs="Arial"/>
          <w:sz w:val="22"/>
        </w:rPr>
      </w:pPr>
      <w:r w:rsidRPr="00093C31">
        <w:rPr>
          <w:rFonts w:ascii="Arial" w:hAnsi="Arial" w:cs="Arial"/>
          <w:sz w:val="22"/>
          <w:szCs w:val="22"/>
        </w:rPr>
        <w:t>provide</w:t>
      </w:r>
      <w:r w:rsidRPr="00093C31">
        <w:rPr>
          <w:rFonts w:ascii="Arial" w:hAnsi="Arial" w:cs="Arial"/>
          <w:sz w:val="22"/>
        </w:rPr>
        <w:t xml:space="preserve"> the tools for </w:t>
      </w:r>
      <w:r w:rsidRPr="00093C31">
        <w:rPr>
          <w:rFonts w:ascii="Arial" w:hAnsi="Arial" w:cs="Arial"/>
          <w:sz w:val="22"/>
          <w:szCs w:val="22"/>
        </w:rPr>
        <w:t>all users</w:t>
      </w:r>
      <w:r w:rsidRPr="00093C31">
        <w:rPr>
          <w:rFonts w:ascii="Arial" w:hAnsi="Arial" w:cs="Arial"/>
          <w:sz w:val="22"/>
        </w:rPr>
        <w:t xml:space="preserve">, including workshop facilitators, </w:t>
      </w:r>
      <w:r w:rsidRPr="00093C31">
        <w:rPr>
          <w:rFonts w:ascii="Arial" w:hAnsi="Arial" w:cs="Arial"/>
          <w:sz w:val="22"/>
          <w:szCs w:val="22"/>
        </w:rPr>
        <w:t>for</w:t>
      </w:r>
      <w:r w:rsidRPr="00093C31">
        <w:rPr>
          <w:rFonts w:ascii="Arial" w:hAnsi="Arial" w:cs="Arial"/>
          <w:sz w:val="22"/>
        </w:rPr>
        <w:t xml:space="preserve"> health budget analysis, to learn and develop the skills to advance UHC goals and principles through advocacy and accountability. </w:t>
      </w:r>
    </w:p>
    <w:p w14:paraId="4E0C97A9" w14:textId="6CE1623C" w:rsidR="00873C3C" w:rsidRPr="00093C31" w:rsidRDefault="0034750B" w:rsidP="0034750B">
      <w:pPr>
        <w:spacing w:after="120"/>
        <w:jc w:val="both"/>
        <w:rPr>
          <w:rFonts w:ascii="Arial" w:hAnsi="Arial" w:cs="Arial"/>
          <w:sz w:val="22"/>
        </w:rPr>
      </w:pPr>
      <w:r w:rsidRPr="00093C31">
        <w:rPr>
          <w:rFonts w:ascii="Arial" w:hAnsi="Arial" w:cs="Arial"/>
          <w:sz w:val="22"/>
        </w:rPr>
        <w:t xml:space="preserve">The proposed approach </w:t>
      </w:r>
      <w:r w:rsidRPr="00093C31">
        <w:rPr>
          <w:rFonts w:ascii="Arial" w:hAnsi="Arial" w:cs="Arial"/>
          <w:sz w:val="22"/>
          <w:szCs w:val="22"/>
        </w:rPr>
        <w:t>is built</w:t>
      </w:r>
      <w:r w:rsidRPr="00093C31">
        <w:rPr>
          <w:rFonts w:ascii="Arial" w:hAnsi="Arial" w:cs="Arial"/>
          <w:sz w:val="22"/>
        </w:rPr>
        <w:t xml:space="preserve"> on </w:t>
      </w:r>
      <w:r w:rsidRPr="00093C31">
        <w:rPr>
          <w:rFonts w:ascii="Arial" w:hAnsi="Arial" w:cs="Arial"/>
          <w:sz w:val="22"/>
          <w:szCs w:val="22"/>
        </w:rPr>
        <w:t>other</w:t>
      </w:r>
      <w:r w:rsidRPr="00093C31">
        <w:rPr>
          <w:rFonts w:ascii="Arial" w:hAnsi="Arial" w:cs="Arial"/>
          <w:sz w:val="22"/>
        </w:rPr>
        <w:t xml:space="preserve"> efforts to strengthen </w:t>
      </w:r>
      <w:r w:rsidRPr="00093C31">
        <w:rPr>
          <w:rFonts w:ascii="Arial" w:hAnsi="Arial" w:cs="Arial"/>
          <w:sz w:val="22"/>
          <w:szCs w:val="22"/>
        </w:rPr>
        <w:t>capacity</w:t>
      </w:r>
      <w:r w:rsidRPr="00093C31">
        <w:rPr>
          <w:rFonts w:ascii="Arial" w:hAnsi="Arial" w:cs="Arial"/>
          <w:sz w:val="22"/>
        </w:rPr>
        <w:t xml:space="preserve"> for health budget analysis, advocacy and accountability. The intention is not to </w:t>
      </w:r>
      <w:r w:rsidRPr="00093C31">
        <w:rPr>
          <w:rFonts w:ascii="Arial" w:hAnsi="Arial" w:cs="Arial"/>
          <w:sz w:val="22"/>
          <w:szCs w:val="22"/>
        </w:rPr>
        <w:t>“</w:t>
      </w:r>
      <w:r w:rsidRPr="00093C31">
        <w:rPr>
          <w:rFonts w:ascii="Arial" w:hAnsi="Arial" w:cs="Arial"/>
          <w:sz w:val="22"/>
        </w:rPr>
        <w:t>reinvent the wheel</w:t>
      </w:r>
      <w:r w:rsidRPr="00093C31">
        <w:rPr>
          <w:rFonts w:ascii="Arial" w:hAnsi="Arial" w:cs="Arial"/>
          <w:sz w:val="22"/>
          <w:szCs w:val="22"/>
        </w:rPr>
        <w:t>”</w:t>
      </w:r>
      <w:r w:rsidRPr="00093C31">
        <w:rPr>
          <w:rFonts w:ascii="Arial" w:hAnsi="Arial" w:cs="Arial"/>
          <w:sz w:val="22"/>
        </w:rPr>
        <w:t xml:space="preserve"> but on the contrary to convene partners with expertise and experience in this area to draw </w:t>
      </w:r>
      <w:r w:rsidRPr="00093C31">
        <w:rPr>
          <w:rFonts w:ascii="Arial" w:hAnsi="Arial" w:cs="Arial"/>
          <w:sz w:val="22"/>
          <w:szCs w:val="22"/>
        </w:rPr>
        <w:t>on</w:t>
      </w:r>
      <w:r w:rsidRPr="00093C31">
        <w:rPr>
          <w:rFonts w:ascii="Arial" w:hAnsi="Arial" w:cs="Arial"/>
          <w:sz w:val="22"/>
        </w:rPr>
        <w:t xml:space="preserve"> good practice, learn from challenges and develop a collective approach to strengthening health budget advocacy and accountability in the context of the SDGs.</w:t>
      </w:r>
      <w:r w:rsidRPr="00093C31">
        <w:rPr>
          <w:rFonts w:ascii="Arial" w:hAnsi="Arial" w:cs="Arial"/>
          <w:sz w:val="22"/>
          <w:vertAlign w:val="superscript"/>
        </w:rPr>
        <w:footnoteReference w:id="4"/>
      </w:r>
      <w:r w:rsidRPr="00093C31">
        <w:rPr>
          <w:rFonts w:ascii="Arial" w:hAnsi="Arial" w:cs="Arial"/>
          <w:sz w:val="22"/>
        </w:rPr>
        <w:t xml:space="preserve"> </w:t>
      </w:r>
    </w:p>
    <w:p w14:paraId="015B69B9" w14:textId="77777777" w:rsidR="0034750B" w:rsidRPr="00093C31" w:rsidRDefault="0034750B" w:rsidP="0034750B">
      <w:pPr>
        <w:spacing w:after="120"/>
        <w:jc w:val="both"/>
        <w:rPr>
          <w:rFonts w:ascii="Arial" w:hAnsi="Arial" w:cs="Arial"/>
          <w:b/>
          <w:sz w:val="22"/>
        </w:rPr>
      </w:pPr>
    </w:p>
    <w:p w14:paraId="2AF38459" w14:textId="77777777" w:rsidR="0034750B" w:rsidRPr="00093C31" w:rsidRDefault="0034750B" w:rsidP="0034750B">
      <w:pPr>
        <w:pStyle w:val="Heading3"/>
      </w:pPr>
      <w:bookmarkStart w:id="11" w:name="_Toc20916323"/>
      <w:bookmarkStart w:id="12" w:name="_Toc57256224"/>
      <w:bookmarkStart w:id="13" w:name="_Toc72157286"/>
      <w:r w:rsidRPr="00093C31">
        <w:t>Who will find this toolkit useful?</w:t>
      </w:r>
      <w:bookmarkEnd w:id="11"/>
      <w:bookmarkEnd w:id="12"/>
      <w:bookmarkEnd w:id="13"/>
    </w:p>
    <w:p w14:paraId="5B290F44" w14:textId="77777777" w:rsidR="0034750B" w:rsidRPr="00093C31" w:rsidRDefault="0034750B" w:rsidP="0034750B">
      <w:pPr>
        <w:spacing w:after="120"/>
        <w:jc w:val="both"/>
        <w:rPr>
          <w:rFonts w:ascii="Arial" w:hAnsi="Arial" w:cs="Arial"/>
          <w:sz w:val="22"/>
        </w:rPr>
      </w:pPr>
      <w:r w:rsidRPr="00093C31">
        <w:rPr>
          <w:rFonts w:ascii="Arial" w:hAnsi="Arial" w:cs="Arial"/>
          <w:sz w:val="22"/>
        </w:rPr>
        <w:t xml:space="preserve">The toolkit is directed at facilitators or trainers or health activists who have experience in budget analysis for advocacy and accountability in health and who will use this toolkit to </w:t>
      </w:r>
      <w:r w:rsidRPr="00093C31">
        <w:rPr>
          <w:rFonts w:ascii="Arial" w:hAnsi="Arial" w:cs="Arial"/>
          <w:sz w:val="22"/>
          <w:szCs w:val="22"/>
        </w:rPr>
        <w:t xml:space="preserve">the </w:t>
      </w:r>
      <w:r w:rsidRPr="00093C31">
        <w:rPr>
          <w:rFonts w:ascii="Arial" w:hAnsi="Arial" w:cs="Arial"/>
          <w:sz w:val="22"/>
        </w:rPr>
        <w:t xml:space="preserve">build capacity </w:t>
      </w:r>
      <w:r w:rsidRPr="00093C31">
        <w:rPr>
          <w:rFonts w:ascii="Arial" w:hAnsi="Arial" w:cs="Arial"/>
          <w:sz w:val="22"/>
          <w:szCs w:val="22"/>
        </w:rPr>
        <w:t>of CSOs</w:t>
      </w:r>
      <w:r w:rsidRPr="00093C31">
        <w:rPr>
          <w:rFonts w:ascii="Arial" w:hAnsi="Arial" w:cs="Arial"/>
          <w:sz w:val="22"/>
        </w:rPr>
        <w:t>, the media</w:t>
      </w:r>
      <w:r w:rsidRPr="00093C31">
        <w:rPr>
          <w:rFonts w:ascii="Arial" w:hAnsi="Arial" w:cs="Arial"/>
          <w:sz w:val="22"/>
          <w:szCs w:val="22"/>
        </w:rPr>
        <w:t>,</w:t>
      </w:r>
      <w:r w:rsidRPr="00093C31">
        <w:rPr>
          <w:rFonts w:ascii="Arial" w:hAnsi="Arial" w:cs="Arial"/>
          <w:sz w:val="22"/>
        </w:rPr>
        <w:t xml:space="preserve"> parliamentarians and staff </w:t>
      </w:r>
      <w:r w:rsidRPr="00093C31">
        <w:rPr>
          <w:rFonts w:ascii="Arial" w:hAnsi="Arial" w:cs="Arial"/>
          <w:sz w:val="22"/>
          <w:szCs w:val="22"/>
        </w:rPr>
        <w:t>in</w:t>
      </w:r>
      <w:r w:rsidRPr="00093C31">
        <w:rPr>
          <w:rFonts w:ascii="Arial" w:hAnsi="Arial" w:cs="Arial"/>
          <w:sz w:val="22"/>
        </w:rPr>
        <w:t xml:space="preserve"> their own </w:t>
      </w:r>
      <w:r w:rsidRPr="00093C31">
        <w:rPr>
          <w:rFonts w:ascii="Arial" w:hAnsi="Arial" w:cs="Arial"/>
          <w:sz w:val="22"/>
          <w:szCs w:val="22"/>
        </w:rPr>
        <w:t>organizations.</w:t>
      </w:r>
      <w:r w:rsidRPr="00093C31">
        <w:rPr>
          <w:rFonts w:ascii="Arial" w:hAnsi="Arial" w:cs="Arial"/>
          <w:sz w:val="22"/>
        </w:rPr>
        <w:t xml:space="preserve"> </w:t>
      </w:r>
    </w:p>
    <w:p w14:paraId="513B8D3D" w14:textId="77777777" w:rsidR="0034750B" w:rsidRPr="00093C31" w:rsidRDefault="0034750B" w:rsidP="0034750B">
      <w:pPr>
        <w:spacing w:after="120"/>
        <w:jc w:val="both"/>
        <w:rPr>
          <w:rFonts w:ascii="Arial" w:hAnsi="Arial" w:cs="Arial"/>
          <w:sz w:val="22"/>
        </w:rPr>
      </w:pPr>
    </w:p>
    <w:p w14:paraId="74A6441C" w14:textId="77777777" w:rsidR="0034750B" w:rsidRPr="00093C31" w:rsidRDefault="0034750B" w:rsidP="0034750B">
      <w:pPr>
        <w:pStyle w:val="Heading3"/>
      </w:pPr>
      <w:bookmarkStart w:id="14" w:name="_Toc72157287"/>
      <w:r w:rsidRPr="00093C31">
        <w:t>How can this toolkit be used?</w:t>
      </w:r>
      <w:bookmarkEnd w:id="14"/>
    </w:p>
    <w:p w14:paraId="0E9201F5" w14:textId="00FA7D93" w:rsidR="0034750B" w:rsidRPr="008727E7" w:rsidRDefault="0034750B" w:rsidP="008727E7">
      <w:r w:rsidRPr="00D477C7">
        <w:rPr>
          <w:rFonts w:ascii="Arial" w:hAnsi="Arial" w:cs="Arial"/>
          <w:sz w:val="22"/>
          <w:szCs w:val="22"/>
        </w:rPr>
        <w:t xml:space="preserve">The toolkit can be used in various ways. For a workshop or training session, the parts of the toolkit to be used will depend on the purpose of the </w:t>
      </w:r>
      <w:r w:rsidR="00006563">
        <w:rPr>
          <w:rFonts w:ascii="Arial" w:hAnsi="Arial" w:cs="Arial"/>
          <w:sz w:val="22"/>
          <w:szCs w:val="22"/>
        </w:rPr>
        <w:t>training session</w:t>
      </w:r>
      <w:r w:rsidRPr="00D477C7">
        <w:rPr>
          <w:rFonts w:ascii="Arial" w:hAnsi="Arial" w:cs="Arial"/>
          <w:sz w:val="22"/>
          <w:szCs w:val="22"/>
        </w:rPr>
        <w:t xml:space="preserve">. We provide a guideline for </w:t>
      </w:r>
      <w:r w:rsidRPr="00D477C7">
        <w:rPr>
          <w:rFonts w:ascii="Arial" w:hAnsi="Arial" w:cs="Arial"/>
          <w:color w:val="4472C4" w:themeColor="accent1"/>
          <w:sz w:val="22"/>
          <w:szCs w:val="22"/>
          <w:u w:val="single"/>
        </w:rPr>
        <w:fldChar w:fldCharType="begin"/>
      </w:r>
      <w:r w:rsidRPr="00D477C7">
        <w:rPr>
          <w:rFonts w:ascii="Arial" w:hAnsi="Arial" w:cs="Arial"/>
          <w:color w:val="4472C4" w:themeColor="accent1"/>
          <w:sz w:val="22"/>
          <w:szCs w:val="22"/>
          <w:u w:val="single"/>
        </w:rPr>
        <w:instrText xml:space="preserve"> REF Planning \h  \* MERGEFORMAT </w:instrText>
      </w:r>
      <w:r w:rsidRPr="00D477C7">
        <w:rPr>
          <w:rFonts w:ascii="Arial" w:hAnsi="Arial" w:cs="Arial"/>
          <w:color w:val="4472C4" w:themeColor="accent1"/>
          <w:sz w:val="22"/>
          <w:szCs w:val="22"/>
          <w:u w:val="single"/>
        </w:rPr>
        <w:fldChar w:fldCharType="separate"/>
      </w:r>
      <w:r w:rsidR="009429C2">
        <w:rPr>
          <w:rFonts w:ascii="Arial" w:hAnsi="Arial" w:cs="Arial"/>
          <w:b/>
          <w:bCs/>
          <w:color w:val="4472C4" w:themeColor="accent1"/>
          <w:sz w:val="22"/>
          <w:szCs w:val="22"/>
          <w:u w:val="single"/>
          <w:lang w:val="en-US"/>
        </w:rPr>
        <w:t>Error! Reference source not found.</w:t>
      </w:r>
      <w:r w:rsidRPr="00D477C7">
        <w:rPr>
          <w:rFonts w:ascii="Arial" w:hAnsi="Arial" w:cs="Arial"/>
          <w:color w:val="4472C4" w:themeColor="accent1"/>
          <w:sz w:val="22"/>
          <w:szCs w:val="22"/>
          <w:u w:val="single"/>
        </w:rPr>
        <w:fldChar w:fldCharType="end"/>
      </w:r>
      <w:r w:rsidRPr="00D477C7">
        <w:rPr>
          <w:rFonts w:ascii="Arial" w:hAnsi="Arial" w:cs="Arial"/>
          <w:color w:val="4472C4" w:themeColor="accent1"/>
          <w:sz w:val="22"/>
          <w:szCs w:val="22"/>
          <w:u w:val="single"/>
        </w:rPr>
        <w:t xml:space="preserve"> a workshop</w:t>
      </w:r>
      <w:r w:rsidRPr="00D477C7">
        <w:rPr>
          <w:rFonts w:ascii="Arial" w:hAnsi="Arial" w:cs="Arial"/>
          <w:sz w:val="22"/>
          <w:szCs w:val="22"/>
        </w:rPr>
        <w:t xml:space="preserve"> using the toolkit, </w:t>
      </w:r>
      <w:r w:rsidRPr="00D477C7">
        <w:rPr>
          <w:rFonts w:ascii="Arial" w:hAnsi="Arial" w:cs="Arial"/>
          <w:sz w:val="22"/>
          <w:szCs w:val="22"/>
        </w:rPr>
        <w:fldChar w:fldCharType="begin"/>
      </w:r>
      <w:r w:rsidRPr="00D477C7">
        <w:rPr>
          <w:rFonts w:ascii="Arial" w:hAnsi="Arial" w:cs="Arial"/>
          <w:sz w:val="22"/>
          <w:szCs w:val="22"/>
        </w:rPr>
        <w:instrText xml:space="preserve"> REF Sample \h  \* MERGEFORMAT </w:instrText>
      </w:r>
      <w:r w:rsidRPr="00D477C7">
        <w:rPr>
          <w:rFonts w:ascii="Arial" w:hAnsi="Arial" w:cs="Arial"/>
          <w:sz w:val="22"/>
          <w:szCs w:val="22"/>
        </w:rPr>
        <w:fldChar w:fldCharType="separate"/>
      </w:r>
      <w:r w:rsidR="009429C2">
        <w:rPr>
          <w:rFonts w:ascii="Arial" w:hAnsi="Arial" w:cs="Arial"/>
          <w:b/>
          <w:bCs/>
          <w:sz w:val="22"/>
          <w:szCs w:val="22"/>
          <w:lang w:val="en-US"/>
        </w:rPr>
        <w:t>Error! Reference source not found.</w:t>
      </w:r>
      <w:r w:rsidRPr="00D477C7">
        <w:rPr>
          <w:rFonts w:ascii="Arial" w:hAnsi="Arial" w:cs="Arial"/>
          <w:sz w:val="22"/>
          <w:szCs w:val="22"/>
        </w:rPr>
        <w:fldChar w:fldCharType="end"/>
      </w:r>
      <w:r w:rsidRPr="00D477C7">
        <w:rPr>
          <w:rFonts w:ascii="Arial" w:hAnsi="Arial" w:cs="Arial"/>
          <w:sz w:val="22"/>
          <w:szCs w:val="22"/>
        </w:rPr>
        <w:t>for a workshop</w:t>
      </w:r>
      <w:r w:rsidR="0067483E">
        <w:rPr>
          <w:rFonts w:ascii="Arial" w:hAnsi="Arial" w:cs="Arial"/>
          <w:sz w:val="22"/>
          <w:szCs w:val="22"/>
        </w:rPr>
        <w:t xml:space="preserve">, </w:t>
      </w:r>
      <w:r w:rsidR="00125532">
        <w:rPr>
          <w:rFonts w:ascii="Arial" w:hAnsi="Arial" w:cs="Arial"/>
          <w:sz w:val="22"/>
          <w:szCs w:val="22"/>
        </w:rPr>
        <w:t>using</w:t>
      </w:r>
      <w:r w:rsidRPr="00D477C7">
        <w:rPr>
          <w:rFonts w:ascii="Arial" w:hAnsi="Arial" w:cs="Arial"/>
          <w:sz w:val="22"/>
          <w:szCs w:val="22"/>
        </w:rPr>
        <w:t xml:space="preserve"> a mix of toolkit content, with the purpose of the workshop and the timing suggested for each session. S</w:t>
      </w:r>
      <w:r w:rsidR="00D32D48">
        <w:rPr>
          <w:rFonts w:ascii="Arial" w:hAnsi="Arial" w:cs="Arial"/>
          <w:sz w:val="22"/>
          <w:szCs w:val="22"/>
        </w:rPr>
        <w:t>u</w:t>
      </w:r>
      <w:r w:rsidRPr="00D477C7">
        <w:rPr>
          <w:rFonts w:ascii="Arial" w:hAnsi="Arial" w:cs="Arial"/>
          <w:sz w:val="22"/>
          <w:szCs w:val="22"/>
        </w:rPr>
        <w:t xml:space="preserve">ggestions for </w:t>
      </w:r>
      <w:r w:rsidRPr="00D477C7">
        <w:rPr>
          <w:rFonts w:ascii="Arial" w:hAnsi="Arial" w:cs="Arial"/>
          <w:sz w:val="22"/>
          <w:szCs w:val="22"/>
        </w:rPr>
        <w:fldChar w:fldCharType="begin"/>
      </w:r>
      <w:r w:rsidRPr="00D477C7">
        <w:rPr>
          <w:rFonts w:ascii="Arial" w:hAnsi="Arial" w:cs="Arial"/>
          <w:sz w:val="22"/>
          <w:szCs w:val="22"/>
        </w:rPr>
        <w:instrText xml:space="preserve"> REF Evaluation \h  \* MERGEFORMAT </w:instrText>
      </w:r>
      <w:r w:rsidRPr="00D477C7">
        <w:rPr>
          <w:rFonts w:ascii="Arial" w:hAnsi="Arial" w:cs="Arial"/>
          <w:sz w:val="22"/>
          <w:szCs w:val="22"/>
        </w:rPr>
        <w:fldChar w:fldCharType="separate"/>
      </w:r>
      <w:r w:rsidR="009429C2">
        <w:rPr>
          <w:rFonts w:ascii="Arial" w:hAnsi="Arial" w:cs="Arial"/>
          <w:b/>
          <w:bCs/>
          <w:sz w:val="22"/>
          <w:szCs w:val="22"/>
          <w:lang w:val="en-US"/>
        </w:rPr>
        <w:t>Error! Reference source not found.</w:t>
      </w:r>
      <w:r w:rsidRPr="00D477C7">
        <w:rPr>
          <w:rFonts w:ascii="Arial" w:hAnsi="Arial" w:cs="Arial"/>
          <w:sz w:val="22"/>
          <w:szCs w:val="22"/>
        </w:rPr>
        <w:fldChar w:fldCharType="end"/>
      </w:r>
      <w:r w:rsidRPr="00093C31">
        <w:rPr>
          <w:rFonts w:ascii="Arial" w:hAnsi="Arial" w:cs="Arial"/>
          <w:sz w:val="22"/>
        </w:rPr>
        <w:t xml:space="preserve">This </w:t>
      </w:r>
      <w:r w:rsidRPr="00093C31">
        <w:rPr>
          <w:rFonts w:ascii="Arial" w:hAnsi="Arial" w:cs="Arial"/>
          <w:sz w:val="22"/>
          <w:szCs w:val="22"/>
        </w:rPr>
        <w:t>toolkit</w:t>
      </w:r>
      <w:r w:rsidRPr="00093C31">
        <w:rPr>
          <w:rFonts w:ascii="Arial" w:hAnsi="Arial" w:cs="Arial"/>
          <w:sz w:val="22"/>
        </w:rPr>
        <w:t xml:space="preserve"> complements </w:t>
      </w:r>
      <w:r w:rsidRPr="00093C31">
        <w:rPr>
          <w:rFonts w:ascii="Arial" w:hAnsi="Arial" w:cs="Arial"/>
          <w:sz w:val="22"/>
          <w:szCs w:val="22"/>
        </w:rPr>
        <w:t>other</w:t>
      </w:r>
      <w:r w:rsidRPr="00093C31">
        <w:rPr>
          <w:rFonts w:ascii="Arial" w:hAnsi="Arial" w:cs="Arial"/>
          <w:sz w:val="22"/>
        </w:rPr>
        <w:t xml:space="preserve"> resources and materials on UHC, health budgets and health financing produced by WHO and partners. The content of this </w:t>
      </w:r>
      <w:r w:rsidRPr="00093C31">
        <w:rPr>
          <w:rFonts w:ascii="Arial" w:hAnsi="Arial" w:cs="Arial"/>
          <w:sz w:val="22"/>
          <w:szCs w:val="22"/>
        </w:rPr>
        <w:t>toolkit</w:t>
      </w:r>
      <w:r w:rsidRPr="00093C31">
        <w:rPr>
          <w:rFonts w:ascii="Arial" w:hAnsi="Arial" w:cs="Arial"/>
          <w:sz w:val="22"/>
        </w:rPr>
        <w:t xml:space="preserve"> is based </w:t>
      </w:r>
      <w:r w:rsidRPr="00093C31">
        <w:rPr>
          <w:rFonts w:ascii="Arial" w:hAnsi="Arial" w:cs="Arial"/>
          <w:sz w:val="22"/>
          <w:szCs w:val="22"/>
        </w:rPr>
        <w:t xml:space="preserve">mainly </w:t>
      </w:r>
      <w:r w:rsidRPr="00093C31">
        <w:rPr>
          <w:rFonts w:ascii="Arial" w:hAnsi="Arial" w:cs="Arial"/>
          <w:sz w:val="22"/>
        </w:rPr>
        <w:t xml:space="preserve">on existing resources with the objective of </w:t>
      </w:r>
      <w:r w:rsidRPr="00093C31">
        <w:rPr>
          <w:rFonts w:ascii="Arial" w:hAnsi="Arial" w:cs="Arial"/>
          <w:sz w:val="22"/>
          <w:szCs w:val="22"/>
        </w:rPr>
        <w:t>making it</w:t>
      </w:r>
      <w:r w:rsidRPr="00093C31">
        <w:rPr>
          <w:rFonts w:ascii="Arial" w:hAnsi="Arial" w:cs="Arial"/>
          <w:sz w:val="22"/>
        </w:rPr>
        <w:t xml:space="preserve"> a repository of </w:t>
      </w:r>
      <w:r w:rsidRPr="00093C31">
        <w:rPr>
          <w:rFonts w:ascii="Arial" w:hAnsi="Arial" w:cs="Arial"/>
          <w:sz w:val="22"/>
          <w:szCs w:val="22"/>
        </w:rPr>
        <w:t>such</w:t>
      </w:r>
      <w:r w:rsidRPr="00093C31">
        <w:rPr>
          <w:rFonts w:ascii="Arial" w:hAnsi="Arial" w:cs="Arial"/>
          <w:sz w:val="22"/>
        </w:rPr>
        <w:t xml:space="preserve"> knowledge </w:t>
      </w:r>
      <w:r w:rsidRPr="00093C31">
        <w:rPr>
          <w:rFonts w:ascii="Arial" w:hAnsi="Arial" w:cs="Arial"/>
          <w:sz w:val="22"/>
          <w:szCs w:val="22"/>
        </w:rPr>
        <w:t>so</w:t>
      </w:r>
      <w:r w:rsidRPr="00093C31">
        <w:rPr>
          <w:rFonts w:ascii="Arial" w:hAnsi="Arial" w:cs="Arial"/>
          <w:sz w:val="22"/>
        </w:rPr>
        <w:t xml:space="preserve"> that </w:t>
      </w:r>
      <w:r w:rsidRPr="00093C31">
        <w:rPr>
          <w:rFonts w:ascii="Arial" w:hAnsi="Arial" w:cs="Arial"/>
          <w:sz w:val="22"/>
          <w:szCs w:val="22"/>
        </w:rPr>
        <w:t xml:space="preserve">it </w:t>
      </w:r>
      <w:r w:rsidRPr="00093C31">
        <w:rPr>
          <w:rFonts w:ascii="Arial" w:hAnsi="Arial" w:cs="Arial"/>
          <w:sz w:val="22"/>
        </w:rPr>
        <w:t>can be used for capacity</w:t>
      </w:r>
      <w:r w:rsidRPr="00093C31">
        <w:rPr>
          <w:rFonts w:ascii="Arial" w:hAnsi="Arial" w:cs="Arial"/>
          <w:sz w:val="22"/>
          <w:szCs w:val="22"/>
        </w:rPr>
        <w:t>-</w:t>
      </w:r>
      <w:r w:rsidRPr="00093C31">
        <w:rPr>
          <w:rFonts w:ascii="Arial" w:hAnsi="Arial" w:cs="Arial"/>
          <w:sz w:val="22"/>
        </w:rPr>
        <w:t xml:space="preserve">building </w:t>
      </w:r>
      <w:r w:rsidRPr="00093C31">
        <w:rPr>
          <w:rFonts w:ascii="Arial" w:hAnsi="Arial" w:cs="Arial"/>
          <w:sz w:val="22"/>
          <w:szCs w:val="22"/>
        </w:rPr>
        <w:t>for various</w:t>
      </w:r>
      <w:r w:rsidRPr="00093C31">
        <w:rPr>
          <w:rFonts w:ascii="Arial" w:hAnsi="Arial" w:cs="Arial"/>
          <w:sz w:val="22"/>
        </w:rPr>
        <w:t xml:space="preserve"> stakeholders. The </w:t>
      </w:r>
      <w:r w:rsidRPr="00093C31">
        <w:rPr>
          <w:rFonts w:ascii="Arial" w:hAnsi="Arial" w:cs="Arial"/>
          <w:sz w:val="22"/>
          <w:szCs w:val="22"/>
        </w:rPr>
        <w:t>toolkit</w:t>
      </w:r>
      <w:r w:rsidRPr="00093C31">
        <w:rPr>
          <w:rFonts w:ascii="Arial" w:hAnsi="Arial" w:cs="Arial"/>
          <w:sz w:val="22"/>
        </w:rPr>
        <w:t xml:space="preserve"> should be understood and used as a compendium of information on budget analysis, advocacy and accountability for UHC that can be used to design ad-hoc training and capacity</w:t>
      </w:r>
      <w:r w:rsidRPr="00093C31">
        <w:rPr>
          <w:rFonts w:ascii="Arial" w:hAnsi="Arial" w:cs="Arial"/>
          <w:sz w:val="22"/>
          <w:szCs w:val="22"/>
        </w:rPr>
        <w:t>-</w:t>
      </w:r>
      <w:r w:rsidRPr="00093C31">
        <w:rPr>
          <w:rFonts w:ascii="Arial" w:hAnsi="Arial" w:cs="Arial"/>
          <w:sz w:val="22"/>
        </w:rPr>
        <w:t xml:space="preserve">building workshops </w:t>
      </w:r>
      <w:r w:rsidRPr="00093C31">
        <w:rPr>
          <w:rFonts w:ascii="Arial" w:hAnsi="Arial" w:cs="Arial"/>
          <w:sz w:val="22"/>
          <w:szCs w:val="22"/>
        </w:rPr>
        <w:t>for</w:t>
      </w:r>
      <w:r w:rsidRPr="00093C31">
        <w:rPr>
          <w:rFonts w:ascii="Arial" w:hAnsi="Arial" w:cs="Arial"/>
          <w:sz w:val="22"/>
        </w:rPr>
        <w:t xml:space="preserve"> the specific learning needs and interests of prospective participants. </w:t>
      </w:r>
    </w:p>
    <w:p w14:paraId="1261D92A" w14:textId="77777777" w:rsidR="0034750B" w:rsidRPr="00093C31" w:rsidRDefault="0034750B" w:rsidP="0034750B">
      <w:pPr>
        <w:spacing w:after="120"/>
        <w:jc w:val="both"/>
        <w:rPr>
          <w:rFonts w:ascii="Arial" w:hAnsi="Arial" w:cs="Arial"/>
          <w:sz w:val="22"/>
        </w:rPr>
      </w:pPr>
      <w:r w:rsidRPr="00093C31">
        <w:rPr>
          <w:rFonts w:ascii="Arial" w:hAnsi="Arial" w:cs="Arial"/>
          <w:sz w:val="22"/>
          <w:szCs w:val="22"/>
        </w:rPr>
        <w:t>There</w:t>
      </w:r>
      <w:r w:rsidRPr="00093C31">
        <w:rPr>
          <w:rFonts w:ascii="Arial" w:hAnsi="Arial" w:cs="Arial"/>
          <w:sz w:val="22"/>
        </w:rPr>
        <w:t xml:space="preserve"> is </w:t>
      </w:r>
      <w:r w:rsidRPr="00093C31">
        <w:rPr>
          <w:rFonts w:ascii="Arial" w:hAnsi="Arial" w:cs="Arial"/>
          <w:sz w:val="22"/>
          <w:szCs w:val="22"/>
        </w:rPr>
        <w:t xml:space="preserve">already </w:t>
      </w:r>
      <w:r w:rsidRPr="00093C31">
        <w:rPr>
          <w:rFonts w:ascii="Arial" w:hAnsi="Arial" w:cs="Arial"/>
          <w:sz w:val="22"/>
        </w:rPr>
        <w:t>a wide array of capacity</w:t>
      </w:r>
      <w:r w:rsidRPr="00093C31">
        <w:rPr>
          <w:rFonts w:ascii="Arial" w:hAnsi="Arial" w:cs="Arial"/>
          <w:sz w:val="22"/>
          <w:szCs w:val="22"/>
        </w:rPr>
        <w:t>-</w:t>
      </w:r>
      <w:r w:rsidRPr="00093C31">
        <w:rPr>
          <w:rFonts w:ascii="Arial" w:hAnsi="Arial" w:cs="Arial"/>
          <w:sz w:val="22"/>
        </w:rPr>
        <w:t>building materials on the subject</w:t>
      </w:r>
      <w:r w:rsidRPr="00093C31">
        <w:rPr>
          <w:rFonts w:ascii="Arial" w:hAnsi="Arial" w:cs="Arial"/>
          <w:sz w:val="22"/>
          <w:szCs w:val="22"/>
        </w:rPr>
        <w:t xml:space="preserve">, and </w:t>
      </w:r>
      <w:r w:rsidRPr="00093C31">
        <w:rPr>
          <w:rFonts w:ascii="Arial" w:hAnsi="Arial" w:cs="Arial"/>
          <w:sz w:val="22"/>
        </w:rPr>
        <w:t xml:space="preserve">prospective users </w:t>
      </w:r>
      <w:r w:rsidRPr="00093C31">
        <w:rPr>
          <w:rFonts w:ascii="Arial" w:hAnsi="Arial" w:cs="Arial"/>
          <w:sz w:val="22"/>
          <w:szCs w:val="22"/>
        </w:rPr>
        <w:t xml:space="preserve">are invited </w:t>
      </w:r>
      <w:r w:rsidRPr="00093C31">
        <w:rPr>
          <w:rFonts w:ascii="Arial" w:hAnsi="Arial" w:cs="Arial"/>
          <w:sz w:val="22"/>
        </w:rPr>
        <w:t xml:space="preserve">to fill in </w:t>
      </w:r>
      <w:r w:rsidRPr="00093C31">
        <w:rPr>
          <w:rFonts w:ascii="Arial" w:hAnsi="Arial" w:cs="Arial"/>
          <w:sz w:val="22"/>
          <w:szCs w:val="22"/>
        </w:rPr>
        <w:t>any</w:t>
      </w:r>
      <w:r w:rsidRPr="00093C31">
        <w:rPr>
          <w:rFonts w:ascii="Arial" w:hAnsi="Arial" w:cs="Arial"/>
          <w:sz w:val="22"/>
        </w:rPr>
        <w:t xml:space="preserve"> gaps of </w:t>
      </w:r>
      <w:r w:rsidRPr="00093C31">
        <w:rPr>
          <w:rFonts w:ascii="Arial" w:hAnsi="Arial" w:cs="Arial"/>
          <w:sz w:val="22"/>
          <w:szCs w:val="22"/>
        </w:rPr>
        <w:t>the toolkit</w:t>
      </w:r>
      <w:r w:rsidRPr="00093C31">
        <w:rPr>
          <w:rFonts w:ascii="Arial" w:hAnsi="Arial" w:cs="Arial"/>
          <w:sz w:val="22"/>
        </w:rPr>
        <w:t xml:space="preserve"> with their own knowledge, experience and materials. The </w:t>
      </w:r>
      <w:r w:rsidRPr="00093C31">
        <w:rPr>
          <w:rFonts w:ascii="Arial" w:hAnsi="Arial" w:cs="Arial"/>
          <w:sz w:val="22"/>
          <w:szCs w:val="22"/>
        </w:rPr>
        <w:t>toolkit</w:t>
      </w:r>
      <w:r w:rsidRPr="00093C31">
        <w:rPr>
          <w:rFonts w:ascii="Arial" w:hAnsi="Arial" w:cs="Arial"/>
          <w:sz w:val="22"/>
        </w:rPr>
        <w:t xml:space="preserve"> is meant to be a </w:t>
      </w:r>
      <w:r w:rsidRPr="00093C31">
        <w:rPr>
          <w:rFonts w:ascii="Arial" w:hAnsi="Arial" w:cs="Arial"/>
          <w:sz w:val="22"/>
          <w:szCs w:val="22"/>
        </w:rPr>
        <w:t>living</w:t>
      </w:r>
      <w:r w:rsidRPr="00093C31">
        <w:rPr>
          <w:rFonts w:ascii="Arial" w:hAnsi="Arial" w:cs="Arial"/>
          <w:sz w:val="22"/>
        </w:rPr>
        <w:t xml:space="preserve"> document that can be improved upon, updated and used </w:t>
      </w:r>
      <w:r w:rsidRPr="00093C31">
        <w:rPr>
          <w:rFonts w:ascii="Arial" w:hAnsi="Arial" w:cs="Arial"/>
          <w:sz w:val="22"/>
          <w:szCs w:val="22"/>
        </w:rPr>
        <w:t xml:space="preserve">as a basis </w:t>
      </w:r>
      <w:r w:rsidRPr="00093C31">
        <w:rPr>
          <w:rFonts w:ascii="Arial" w:hAnsi="Arial" w:cs="Arial"/>
          <w:sz w:val="22"/>
        </w:rPr>
        <w:t>for other</w:t>
      </w:r>
      <w:r w:rsidRPr="00093C31">
        <w:rPr>
          <w:rFonts w:ascii="Arial" w:hAnsi="Arial" w:cs="Arial"/>
          <w:sz w:val="22"/>
          <w:szCs w:val="22"/>
        </w:rPr>
        <w:t>,</w:t>
      </w:r>
      <w:r w:rsidRPr="00093C31">
        <w:rPr>
          <w:rFonts w:ascii="Arial" w:hAnsi="Arial" w:cs="Arial"/>
          <w:sz w:val="22"/>
        </w:rPr>
        <w:t xml:space="preserve"> similar resources. </w:t>
      </w:r>
    </w:p>
    <w:p w14:paraId="4ED4ECD5" w14:textId="77777777" w:rsidR="0034750B" w:rsidRPr="00093C31" w:rsidRDefault="0034750B" w:rsidP="0034750B">
      <w:pPr>
        <w:spacing w:after="120"/>
        <w:jc w:val="both"/>
        <w:rPr>
          <w:rFonts w:ascii="Arial" w:hAnsi="Arial" w:cs="Arial"/>
          <w:sz w:val="22"/>
          <w:szCs w:val="22"/>
        </w:rPr>
      </w:pPr>
    </w:p>
    <w:p w14:paraId="598E99A5" w14:textId="77777777" w:rsidR="0034750B" w:rsidRPr="00093C31" w:rsidRDefault="0034750B" w:rsidP="0034750B">
      <w:pPr>
        <w:pStyle w:val="Heading3"/>
      </w:pPr>
      <w:bookmarkStart w:id="15" w:name="_Toc21678173"/>
      <w:bookmarkStart w:id="16" w:name="_Toc72157288"/>
      <w:r w:rsidRPr="00093C31">
        <w:t>Toolkit structure</w:t>
      </w:r>
      <w:bookmarkEnd w:id="15"/>
      <w:bookmarkEnd w:id="16"/>
    </w:p>
    <w:p w14:paraId="4EA928DB" w14:textId="77777777" w:rsidR="0034750B" w:rsidRPr="00093C31" w:rsidRDefault="0034750B" w:rsidP="0034750B">
      <w:pPr>
        <w:numPr>
          <w:ilvl w:val="0"/>
          <w:numId w:val="4"/>
        </w:numPr>
        <w:spacing w:after="120"/>
        <w:ind w:left="426" w:hanging="284"/>
        <w:jc w:val="both"/>
        <w:rPr>
          <w:rFonts w:ascii="Arial" w:hAnsi="Arial" w:cs="Arial"/>
          <w:sz w:val="22"/>
        </w:rPr>
      </w:pPr>
      <w:r w:rsidRPr="00093C31">
        <w:rPr>
          <w:rFonts w:ascii="Arial" w:hAnsi="Arial" w:cs="Arial"/>
          <w:sz w:val="22"/>
        </w:rPr>
        <w:t xml:space="preserve">The toolkit has three chapters. Each chapter has a </w:t>
      </w:r>
      <w:r w:rsidRPr="00093C31">
        <w:rPr>
          <w:rFonts w:ascii="Arial" w:hAnsi="Arial" w:cs="Arial"/>
          <w:sz w:val="22"/>
          <w:szCs w:val="22"/>
        </w:rPr>
        <w:t>number of</w:t>
      </w:r>
      <w:r w:rsidRPr="00093C31">
        <w:rPr>
          <w:rFonts w:ascii="Arial" w:hAnsi="Arial" w:cs="Arial"/>
          <w:sz w:val="22"/>
        </w:rPr>
        <w:t xml:space="preserve"> modules</w:t>
      </w:r>
      <w:r w:rsidRPr="00093C31">
        <w:rPr>
          <w:rFonts w:ascii="Arial" w:hAnsi="Arial" w:cs="Arial"/>
          <w:sz w:val="22"/>
          <w:szCs w:val="22"/>
        </w:rPr>
        <w:t xml:space="preserve">, each of which </w:t>
      </w:r>
      <w:r w:rsidRPr="00093C31">
        <w:rPr>
          <w:rFonts w:ascii="Arial" w:hAnsi="Arial" w:cs="Arial"/>
          <w:sz w:val="22"/>
        </w:rPr>
        <w:t xml:space="preserve">has a few sections, tools and activities. </w:t>
      </w:r>
    </w:p>
    <w:p w14:paraId="4A913233" w14:textId="77777777" w:rsidR="0034750B" w:rsidRPr="00093C31" w:rsidRDefault="0034750B" w:rsidP="0034750B">
      <w:pPr>
        <w:numPr>
          <w:ilvl w:val="0"/>
          <w:numId w:val="4"/>
        </w:numPr>
        <w:spacing w:after="120"/>
        <w:ind w:left="426" w:hanging="284"/>
        <w:jc w:val="both"/>
        <w:rPr>
          <w:rFonts w:ascii="Arial" w:hAnsi="Arial" w:cs="Arial"/>
          <w:sz w:val="22"/>
        </w:rPr>
      </w:pPr>
      <w:r w:rsidRPr="00093C31">
        <w:rPr>
          <w:rFonts w:ascii="Arial" w:hAnsi="Arial" w:cs="Arial"/>
          <w:sz w:val="22"/>
          <w:szCs w:val="22"/>
        </w:rPr>
        <w:t>The chapters</w:t>
      </w:r>
      <w:r w:rsidRPr="00093C31">
        <w:rPr>
          <w:rFonts w:ascii="Arial" w:hAnsi="Arial" w:cs="Arial"/>
          <w:sz w:val="22"/>
        </w:rPr>
        <w:t xml:space="preserve"> have objectives</w:t>
      </w:r>
      <w:r w:rsidRPr="00093C31">
        <w:rPr>
          <w:rFonts w:ascii="Arial" w:hAnsi="Arial" w:cs="Arial"/>
          <w:sz w:val="22"/>
          <w:szCs w:val="22"/>
        </w:rPr>
        <w:t xml:space="preserve">, which are attained by meeting the </w:t>
      </w:r>
      <w:r w:rsidRPr="00093C31">
        <w:rPr>
          <w:rFonts w:ascii="Arial" w:hAnsi="Arial" w:cs="Arial"/>
          <w:sz w:val="22"/>
        </w:rPr>
        <w:t xml:space="preserve">objectives </w:t>
      </w:r>
      <w:r w:rsidRPr="00093C31">
        <w:rPr>
          <w:rFonts w:ascii="Arial" w:hAnsi="Arial" w:cs="Arial"/>
          <w:sz w:val="22"/>
          <w:szCs w:val="22"/>
        </w:rPr>
        <w:t>of the modules</w:t>
      </w:r>
      <w:r w:rsidRPr="00093C31">
        <w:rPr>
          <w:rFonts w:ascii="Arial" w:hAnsi="Arial" w:cs="Arial"/>
          <w:sz w:val="22"/>
        </w:rPr>
        <w:t>.</w:t>
      </w:r>
    </w:p>
    <w:p w14:paraId="3F3FA3CC" w14:textId="77777777" w:rsidR="0034750B" w:rsidRPr="00093C31" w:rsidRDefault="0034750B" w:rsidP="0034750B">
      <w:pPr>
        <w:numPr>
          <w:ilvl w:val="0"/>
          <w:numId w:val="4"/>
        </w:numPr>
        <w:spacing w:after="120"/>
        <w:ind w:left="426" w:hanging="284"/>
        <w:jc w:val="both"/>
        <w:rPr>
          <w:rFonts w:ascii="Arial" w:hAnsi="Arial" w:cs="Arial"/>
          <w:sz w:val="22"/>
        </w:rPr>
      </w:pPr>
      <w:r w:rsidRPr="00093C31">
        <w:rPr>
          <w:rFonts w:ascii="Arial" w:hAnsi="Arial" w:cs="Arial"/>
          <w:sz w:val="22"/>
        </w:rPr>
        <w:t xml:space="preserve">Each module </w:t>
      </w:r>
      <w:r w:rsidRPr="00093C31">
        <w:rPr>
          <w:rFonts w:ascii="Arial" w:hAnsi="Arial" w:cs="Arial"/>
          <w:sz w:val="22"/>
          <w:szCs w:val="22"/>
        </w:rPr>
        <w:t>consists of</w:t>
      </w:r>
      <w:r w:rsidRPr="00093C31">
        <w:rPr>
          <w:rFonts w:ascii="Arial" w:hAnsi="Arial" w:cs="Arial"/>
          <w:sz w:val="22"/>
        </w:rPr>
        <w:t xml:space="preserve"> small, manageable sections that provide information and skills </w:t>
      </w:r>
      <w:r w:rsidRPr="00093C31">
        <w:rPr>
          <w:rFonts w:ascii="Arial" w:hAnsi="Arial" w:cs="Arial"/>
          <w:sz w:val="22"/>
          <w:szCs w:val="22"/>
        </w:rPr>
        <w:t>for</w:t>
      </w:r>
      <w:r w:rsidRPr="00093C31">
        <w:rPr>
          <w:rFonts w:ascii="Arial" w:hAnsi="Arial" w:cs="Arial"/>
          <w:sz w:val="22"/>
        </w:rPr>
        <w:t xml:space="preserve"> achieving the module objectives. </w:t>
      </w:r>
    </w:p>
    <w:p w14:paraId="077B97B7" w14:textId="77777777" w:rsidR="0034750B" w:rsidRPr="00093C31" w:rsidRDefault="0034750B" w:rsidP="0034750B">
      <w:pPr>
        <w:numPr>
          <w:ilvl w:val="0"/>
          <w:numId w:val="4"/>
        </w:numPr>
        <w:spacing w:after="120"/>
        <w:ind w:left="426" w:hanging="284"/>
        <w:jc w:val="both"/>
        <w:rPr>
          <w:rFonts w:ascii="Arial" w:hAnsi="Arial" w:cs="Arial"/>
          <w:sz w:val="22"/>
        </w:rPr>
      </w:pPr>
      <w:r w:rsidRPr="00093C31">
        <w:rPr>
          <w:rFonts w:ascii="Arial" w:hAnsi="Arial" w:cs="Arial"/>
          <w:sz w:val="22"/>
        </w:rPr>
        <w:t xml:space="preserve">Tools </w:t>
      </w:r>
      <w:r w:rsidRPr="00093C31">
        <w:rPr>
          <w:rFonts w:ascii="Arial" w:hAnsi="Arial" w:cs="Arial"/>
          <w:sz w:val="22"/>
          <w:szCs w:val="22"/>
        </w:rPr>
        <w:t xml:space="preserve">are </w:t>
      </w:r>
      <w:r w:rsidRPr="00093C31">
        <w:rPr>
          <w:rFonts w:ascii="Arial" w:hAnsi="Arial" w:cs="Arial"/>
          <w:sz w:val="22"/>
        </w:rPr>
        <w:t xml:space="preserve">provided in some sections </w:t>
      </w:r>
      <w:r w:rsidRPr="00093C31">
        <w:rPr>
          <w:rFonts w:ascii="Arial" w:hAnsi="Arial" w:cs="Arial"/>
          <w:sz w:val="22"/>
          <w:szCs w:val="22"/>
        </w:rPr>
        <w:t>when</w:t>
      </w:r>
      <w:r w:rsidRPr="00093C31">
        <w:rPr>
          <w:rFonts w:ascii="Arial" w:hAnsi="Arial" w:cs="Arial"/>
          <w:sz w:val="22"/>
        </w:rPr>
        <w:t xml:space="preserve"> they are useful for measuring </w:t>
      </w:r>
      <w:r w:rsidRPr="00093C31">
        <w:rPr>
          <w:rFonts w:ascii="Arial" w:hAnsi="Arial" w:cs="Arial"/>
          <w:sz w:val="22"/>
          <w:szCs w:val="22"/>
        </w:rPr>
        <w:t xml:space="preserve">the </w:t>
      </w:r>
      <w:r w:rsidRPr="00093C31">
        <w:rPr>
          <w:rFonts w:ascii="Arial" w:hAnsi="Arial" w:cs="Arial"/>
          <w:sz w:val="22"/>
        </w:rPr>
        <w:t xml:space="preserve">knowledge and </w:t>
      </w:r>
      <w:r w:rsidRPr="00093C31">
        <w:rPr>
          <w:rFonts w:ascii="Arial" w:hAnsi="Arial" w:cs="Arial"/>
          <w:sz w:val="22"/>
          <w:szCs w:val="22"/>
        </w:rPr>
        <w:t>skills covered</w:t>
      </w:r>
      <w:r w:rsidRPr="00093C31">
        <w:rPr>
          <w:rFonts w:ascii="Arial" w:hAnsi="Arial" w:cs="Arial"/>
          <w:sz w:val="22"/>
        </w:rPr>
        <w:t xml:space="preserve">. </w:t>
      </w:r>
    </w:p>
    <w:p w14:paraId="2B77E95A" w14:textId="77777777" w:rsidR="0034750B" w:rsidRPr="00093C31" w:rsidRDefault="0034750B" w:rsidP="0034750B">
      <w:pPr>
        <w:numPr>
          <w:ilvl w:val="0"/>
          <w:numId w:val="4"/>
        </w:numPr>
        <w:spacing w:after="120"/>
        <w:ind w:left="426" w:hanging="284"/>
        <w:jc w:val="both"/>
        <w:rPr>
          <w:rFonts w:ascii="Arial" w:hAnsi="Arial" w:cs="Arial"/>
          <w:sz w:val="22"/>
        </w:rPr>
      </w:pPr>
      <w:r w:rsidRPr="00093C31">
        <w:rPr>
          <w:rFonts w:ascii="Arial" w:hAnsi="Arial" w:cs="Arial"/>
          <w:sz w:val="22"/>
        </w:rPr>
        <w:t xml:space="preserve">Activities </w:t>
      </w:r>
      <w:r w:rsidRPr="00093C31">
        <w:rPr>
          <w:rFonts w:ascii="Arial" w:hAnsi="Arial" w:cs="Arial"/>
          <w:sz w:val="22"/>
          <w:szCs w:val="22"/>
        </w:rPr>
        <w:t>also include descriptions of application of</w:t>
      </w:r>
      <w:r w:rsidRPr="00093C31">
        <w:rPr>
          <w:rFonts w:ascii="Arial" w:hAnsi="Arial" w:cs="Arial"/>
          <w:sz w:val="22"/>
        </w:rPr>
        <w:t xml:space="preserve"> the tool to ascertain users’ knowledge and </w:t>
      </w:r>
      <w:r w:rsidRPr="00093C31">
        <w:rPr>
          <w:rFonts w:ascii="Arial" w:hAnsi="Arial" w:cs="Arial"/>
          <w:sz w:val="22"/>
          <w:szCs w:val="22"/>
        </w:rPr>
        <w:t xml:space="preserve">skills or </w:t>
      </w:r>
      <w:r w:rsidRPr="00093C31">
        <w:rPr>
          <w:rFonts w:ascii="Arial" w:hAnsi="Arial" w:cs="Arial"/>
          <w:sz w:val="22"/>
        </w:rPr>
        <w:t xml:space="preserve">to the users’ context. </w:t>
      </w:r>
    </w:p>
    <w:p w14:paraId="4684ED17" w14:textId="77777777" w:rsidR="00B45B06" w:rsidRDefault="00B45B06" w:rsidP="0034750B">
      <w:pPr>
        <w:spacing w:after="120"/>
        <w:jc w:val="both"/>
      </w:pPr>
    </w:p>
    <w:sectPr w:rsidR="00B45B06" w:rsidSect="00EC272E">
      <w:headerReference w:type="default" r:id="rId7"/>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8BF6" w14:textId="77777777" w:rsidR="00EF2561" w:rsidRDefault="00EF2561" w:rsidP="00EC272E">
      <w:r>
        <w:separator/>
      </w:r>
    </w:p>
  </w:endnote>
  <w:endnote w:type="continuationSeparator" w:id="0">
    <w:p w14:paraId="58C1B632" w14:textId="77777777" w:rsidR="00EF2561" w:rsidRDefault="00EF2561"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Body CS)">
    <w:altName w:val="Tahoma"/>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021E" w14:textId="77777777" w:rsidR="00EC272E" w:rsidRPr="0086169F" w:rsidRDefault="00EC272E" w:rsidP="00EC272E">
    <w:pPr>
      <w:rPr>
        <w:rFonts w:ascii="Arial" w:hAnsi="Arial" w:cs="Arial"/>
      </w:rPr>
    </w:pPr>
  </w:p>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EC272E" w:rsidRPr="0086169F" w14:paraId="7E8CD5AC" w14:textId="77777777" w:rsidTr="00CE0880">
      <w:tc>
        <w:tcPr>
          <w:tcW w:w="4885" w:type="dxa"/>
        </w:tcPr>
        <w:p w14:paraId="12970FA2" w14:textId="77777777" w:rsidR="00EC272E" w:rsidRPr="0086169F" w:rsidRDefault="00EC272E" w:rsidP="00EC272E">
          <w:pPr>
            <w:rPr>
              <w:rFonts w:ascii="Arial" w:eastAsia="MS Gothic" w:hAnsi="Arial" w:cs="Arial"/>
              <w:b/>
              <w:color w:val="008080"/>
              <w:sz w:val="18"/>
              <w:szCs w:val="18"/>
            </w:rPr>
          </w:pPr>
        </w:p>
        <w:p w14:paraId="483F63A9" w14:textId="77777777" w:rsidR="00EC272E" w:rsidRPr="0086169F" w:rsidRDefault="00EC272E" w:rsidP="00EC272E">
          <w:pPr>
            <w:pStyle w:val="Footer"/>
            <w:rPr>
              <w:rFonts w:ascii="Arial" w:hAnsi="Arial" w:cs="Arial"/>
              <w:b/>
              <w:bCs/>
              <w:color w:val="3CA5DD"/>
              <w:sz w:val="18"/>
              <w:szCs w:val="18"/>
            </w:rPr>
          </w:pPr>
          <w:r w:rsidRPr="00812D0D">
            <w:rPr>
              <w:rFonts w:ascii="Arial" w:eastAsia="MS Gothic" w:hAnsi="Arial" w:cs="Arial"/>
              <w:b/>
              <w:color w:val="008080"/>
              <w:sz w:val="18"/>
              <w:szCs w:val="18"/>
            </w:rPr>
            <w:t xml:space="preserve">Chapter 1. General guidelines and resources for users and facilitators </w:t>
          </w:r>
        </w:p>
        <w:p w14:paraId="42DF31DF" w14:textId="77777777" w:rsidR="00EC272E" w:rsidRPr="0086169F" w:rsidRDefault="00EC272E" w:rsidP="00EC272E">
          <w:pPr>
            <w:rPr>
              <w:rFonts w:ascii="Arial" w:hAnsi="Arial" w:cs="Arial"/>
              <w:b/>
              <w:bCs/>
              <w:color w:val="3CA5DD"/>
            </w:rPr>
          </w:pPr>
        </w:p>
      </w:tc>
      <w:tc>
        <w:tcPr>
          <w:tcW w:w="3943" w:type="dxa"/>
        </w:tcPr>
        <w:p w14:paraId="07890BEF" w14:textId="77777777" w:rsidR="00EC272E" w:rsidRPr="0086169F" w:rsidRDefault="00EC272E" w:rsidP="00EC272E">
          <w:pPr>
            <w:jc w:val="right"/>
            <w:rPr>
              <w:rFonts w:ascii="Arial" w:hAnsi="Arial" w:cs="Arial"/>
              <w:b/>
              <w:bCs/>
              <w:color w:val="000000" w:themeColor="text1"/>
              <w:sz w:val="18"/>
              <w:szCs w:val="18"/>
            </w:rPr>
          </w:pPr>
        </w:p>
        <w:p w14:paraId="2F9B9416" w14:textId="77777777" w:rsidR="00EC272E" w:rsidRPr="0086169F" w:rsidRDefault="00EC272E" w:rsidP="00EC272E">
          <w:pPr>
            <w:jc w:val="right"/>
            <w:rPr>
              <w:rFonts w:ascii="Arial" w:eastAsia="MS Gothic" w:hAnsi="Arial" w:cs="Arial"/>
              <w:b/>
              <w:color w:val="008080"/>
              <w:sz w:val="18"/>
              <w:szCs w:val="18"/>
            </w:rPr>
          </w:pPr>
        </w:p>
      </w:tc>
    </w:tr>
  </w:tbl>
  <w:p w14:paraId="7BEE24D6" w14:textId="77777777" w:rsidR="00EC272E" w:rsidRPr="0086169F" w:rsidRDefault="00EC272E" w:rsidP="00EC272E">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18</w:t>
    </w:r>
    <w:r w:rsidRPr="0086169F">
      <w:rPr>
        <w:rFonts w:ascii="Arial" w:hAnsi="Arial" w:cs="Arial"/>
        <w:b/>
        <w:bCs/>
        <w:color w:val="008080"/>
        <w:sz w:val="20"/>
        <w:szCs w:val="20"/>
      </w:rPr>
      <w:fldChar w:fldCharType="end"/>
    </w:r>
  </w:p>
  <w:p w14:paraId="7A082198" w14:textId="77777777" w:rsidR="00EC272E" w:rsidRPr="0086169F" w:rsidRDefault="00EC272E" w:rsidP="00EC272E">
    <w:pPr>
      <w:pStyle w:val="Footer"/>
      <w:tabs>
        <w:tab w:val="clear" w:pos="4680"/>
        <w:tab w:val="clear" w:pos="9360"/>
        <w:tab w:val="left" w:pos="1315"/>
      </w:tabs>
      <w:rPr>
        <w:rFonts w:ascii="Arial" w:hAnsi="Arial" w:cs="Arial"/>
      </w:rPr>
    </w:pPr>
    <w:r w:rsidRPr="0086169F">
      <w:rPr>
        <w:rFonts w:ascii="Arial" w:hAnsi="Arial" w:cs="Arial"/>
      </w:rPr>
      <w:tab/>
    </w:r>
  </w:p>
  <w:p w14:paraId="53527D5D" w14:textId="77777777" w:rsidR="00EC272E" w:rsidRDefault="00EC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DFFA" w14:textId="77777777" w:rsidR="00EF2561" w:rsidRDefault="00EF2561" w:rsidP="00EC272E">
      <w:r>
        <w:separator/>
      </w:r>
    </w:p>
  </w:footnote>
  <w:footnote w:type="continuationSeparator" w:id="0">
    <w:p w14:paraId="08D67268" w14:textId="77777777" w:rsidR="00EF2561" w:rsidRDefault="00EF2561" w:rsidP="00EC272E">
      <w:r>
        <w:continuationSeparator/>
      </w:r>
    </w:p>
  </w:footnote>
  <w:footnote w:id="1">
    <w:p w14:paraId="323FD912" w14:textId="77777777" w:rsidR="0034750B" w:rsidRPr="009040AF" w:rsidRDefault="0034750B" w:rsidP="0034750B">
      <w:pPr>
        <w:pStyle w:val="FootnoteText"/>
        <w:ind w:left="284" w:hanging="284"/>
        <w:rPr>
          <w:rFonts w:cs="Arial"/>
        </w:rPr>
      </w:pPr>
      <w:r w:rsidRPr="009040AF">
        <w:rPr>
          <w:rStyle w:val="FootnoteReference"/>
          <w:rFonts w:cs="Arial"/>
        </w:rPr>
        <w:footnoteRef/>
      </w:r>
      <w:r w:rsidRPr="009040AF">
        <w:rPr>
          <w:rFonts w:cs="Arial"/>
        </w:rPr>
        <w:t xml:space="preserve"> </w:t>
      </w:r>
      <w:r w:rsidRPr="009040AF">
        <w:rPr>
          <w:rFonts w:cs="Arial"/>
          <w:szCs w:val="18"/>
        </w:rPr>
        <w:tab/>
      </w:r>
      <w:r w:rsidRPr="009040AF">
        <w:rPr>
          <w:rFonts w:cs="Arial"/>
        </w:rPr>
        <w:t xml:space="preserve">While states hold the primary responsibility </w:t>
      </w:r>
      <w:r w:rsidRPr="009040AF">
        <w:rPr>
          <w:rFonts w:cs="Arial"/>
          <w:szCs w:val="18"/>
        </w:rPr>
        <w:t xml:space="preserve">for ensuring </w:t>
      </w:r>
      <w:r w:rsidRPr="009040AF">
        <w:rPr>
          <w:rFonts w:cs="Arial"/>
        </w:rPr>
        <w:t xml:space="preserve">the human right to health, health is also a shared global responsibility. Development assistance </w:t>
      </w:r>
      <w:r w:rsidRPr="009040AF">
        <w:rPr>
          <w:rFonts w:cs="Arial"/>
          <w:szCs w:val="18"/>
        </w:rPr>
        <w:t>still represents</w:t>
      </w:r>
      <w:r w:rsidRPr="009040AF">
        <w:rPr>
          <w:rFonts w:cs="Arial"/>
        </w:rPr>
        <w:t xml:space="preserve"> a significant proportion of health financing in certain countries</w:t>
      </w:r>
      <w:r w:rsidRPr="009040AF">
        <w:rPr>
          <w:rFonts w:cs="Arial"/>
          <w:szCs w:val="18"/>
        </w:rPr>
        <w:t>. As</w:t>
      </w:r>
      <w:r w:rsidRPr="009040AF">
        <w:rPr>
          <w:rFonts w:cs="Arial"/>
        </w:rPr>
        <w:t xml:space="preserve"> countries </w:t>
      </w:r>
      <w:r w:rsidRPr="009040AF">
        <w:rPr>
          <w:rFonts w:cs="Arial"/>
          <w:szCs w:val="18"/>
        </w:rPr>
        <w:t>require less</w:t>
      </w:r>
      <w:r w:rsidRPr="009040AF">
        <w:rPr>
          <w:rFonts w:cs="Arial"/>
        </w:rPr>
        <w:t xml:space="preserve"> development assistance for health, </w:t>
      </w:r>
      <w:r w:rsidRPr="009040AF">
        <w:rPr>
          <w:rFonts w:cs="Arial"/>
          <w:szCs w:val="18"/>
        </w:rPr>
        <w:t>more</w:t>
      </w:r>
      <w:r w:rsidRPr="009040AF">
        <w:rPr>
          <w:rFonts w:cs="Arial"/>
        </w:rPr>
        <w:t xml:space="preserve"> public spending on health and ensuring efficient and equitable use are increasingly important. </w:t>
      </w:r>
    </w:p>
  </w:footnote>
  <w:footnote w:id="2">
    <w:p w14:paraId="567743EE" w14:textId="77777777" w:rsidR="0034750B" w:rsidRPr="009040AF" w:rsidRDefault="0034750B" w:rsidP="0034750B">
      <w:pPr>
        <w:pStyle w:val="FootnoteText"/>
        <w:ind w:left="284" w:hanging="284"/>
        <w:rPr>
          <w:rFonts w:cs="Arial"/>
        </w:rPr>
      </w:pPr>
      <w:r w:rsidRPr="009040AF">
        <w:rPr>
          <w:rStyle w:val="FootnoteReference"/>
          <w:rFonts w:cs="Arial"/>
        </w:rPr>
        <w:footnoteRef/>
      </w:r>
      <w:r w:rsidRPr="009040AF">
        <w:rPr>
          <w:rFonts w:cs="Arial"/>
        </w:rPr>
        <w:t xml:space="preserve"> </w:t>
      </w:r>
      <w:r w:rsidRPr="009040AF">
        <w:rPr>
          <w:rFonts w:cs="Arial"/>
          <w:szCs w:val="18"/>
        </w:rPr>
        <w:tab/>
      </w:r>
      <w:r w:rsidRPr="009040AF">
        <w:rPr>
          <w:rFonts w:cs="Arial"/>
        </w:rPr>
        <w:t xml:space="preserve">We acknowledge the heterogeneity of civil society and </w:t>
      </w:r>
      <w:r w:rsidRPr="009040AF">
        <w:rPr>
          <w:rFonts w:cs="Arial"/>
          <w:szCs w:val="18"/>
        </w:rPr>
        <w:t>that</w:t>
      </w:r>
      <w:r w:rsidRPr="009040AF">
        <w:rPr>
          <w:rFonts w:cs="Arial"/>
        </w:rPr>
        <w:t xml:space="preserve"> a deliberate</w:t>
      </w:r>
      <w:r w:rsidRPr="009040AF">
        <w:rPr>
          <w:rFonts w:cs="Arial"/>
          <w:szCs w:val="18"/>
        </w:rPr>
        <w:t>,</w:t>
      </w:r>
      <w:r w:rsidRPr="009040AF">
        <w:rPr>
          <w:rFonts w:cs="Arial"/>
        </w:rPr>
        <w:t xml:space="preserve"> specific approach </w:t>
      </w:r>
      <w:r w:rsidRPr="009040AF">
        <w:rPr>
          <w:rFonts w:cs="Arial"/>
          <w:szCs w:val="18"/>
        </w:rPr>
        <w:t>is necessary in</w:t>
      </w:r>
      <w:r w:rsidRPr="009040AF">
        <w:rPr>
          <w:rFonts w:cs="Arial"/>
        </w:rPr>
        <w:t xml:space="preserve"> identifying civil society organizations (CSOs) </w:t>
      </w:r>
      <w:r w:rsidRPr="009040AF">
        <w:rPr>
          <w:rFonts w:cs="Arial"/>
          <w:szCs w:val="18"/>
        </w:rPr>
        <w:t xml:space="preserve">with which </w:t>
      </w:r>
      <w:r w:rsidRPr="009040AF">
        <w:rPr>
          <w:rFonts w:cs="Arial"/>
        </w:rPr>
        <w:t xml:space="preserve">to work. It </w:t>
      </w:r>
      <w:r w:rsidRPr="009040AF">
        <w:rPr>
          <w:rFonts w:cs="Arial"/>
          <w:szCs w:val="18"/>
        </w:rPr>
        <w:t>is</w:t>
      </w:r>
      <w:r w:rsidRPr="009040AF">
        <w:rPr>
          <w:rFonts w:cs="Arial"/>
        </w:rPr>
        <w:t xml:space="preserve"> important that the CSOs </w:t>
      </w:r>
      <w:r w:rsidRPr="009040AF">
        <w:rPr>
          <w:rFonts w:cs="Arial"/>
          <w:szCs w:val="18"/>
        </w:rPr>
        <w:t xml:space="preserve">with which </w:t>
      </w:r>
      <w:r w:rsidRPr="009040AF">
        <w:rPr>
          <w:rFonts w:cs="Arial"/>
        </w:rPr>
        <w:t xml:space="preserve">we engage represent the voices of underserved communities. </w:t>
      </w:r>
    </w:p>
  </w:footnote>
  <w:footnote w:id="3">
    <w:p w14:paraId="3875EABC" w14:textId="77777777" w:rsidR="0034750B" w:rsidRPr="009040AF" w:rsidRDefault="0034750B" w:rsidP="0034750B">
      <w:pPr>
        <w:pStyle w:val="FootnoteText"/>
        <w:ind w:left="284" w:hanging="284"/>
        <w:rPr>
          <w:rFonts w:cs="Arial"/>
        </w:rPr>
      </w:pPr>
      <w:r w:rsidRPr="009040AF">
        <w:rPr>
          <w:rStyle w:val="FootnoteReference"/>
          <w:rFonts w:cs="Arial"/>
        </w:rPr>
        <w:footnoteRef/>
      </w:r>
      <w:r w:rsidRPr="009040AF">
        <w:rPr>
          <w:rFonts w:cs="Arial"/>
        </w:rPr>
        <w:t xml:space="preserve"> </w:t>
      </w:r>
      <w:r w:rsidRPr="009040AF">
        <w:rPr>
          <w:rFonts w:cs="Arial"/>
          <w:szCs w:val="18"/>
        </w:rPr>
        <w:tab/>
      </w:r>
      <w:r w:rsidRPr="009040AF">
        <w:rPr>
          <w:rFonts w:cs="Arial"/>
        </w:rPr>
        <w:t>These include academia, think tanks and others</w:t>
      </w:r>
      <w:r w:rsidRPr="009040AF">
        <w:rPr>
          <w:rFonts w:cs="Arial"/>
          <w:szCs w:val="18"/>
        </w:rPr>
        <w:t>,</w:t>
      </w:r>
      <w:r w:rsidRPr="009040AF">
        <w:rPr>
          <w:rFonts w:cs="Arial"/>
        </w:rPr>
        <w:t xml:space="preserve"> such as human rights </w:t>
      </w:r>
      <w:r w:rsidRPr="009040AF">
        <w:rPr>
          <w:rFonts w:cs="Arial"/>
          <w:szCs w:val="18"/>
        </w:rPr>
        <w:t>organizations</w:t>
      </w:r>
      <w:r w:rsidRPr="009040AF">
        <w:rPr>
          <w:rFonts w:cs="Arial"/>
        </w:rPr>
        <w:t xml:space="preserve"> and the Open Government Partnership, </w:t>
      </w:r>
      <w:r w:rsidRPr="009040AF">
        <w:rPr>
          <w:rFonts w:cs="Arial"/>
          <w:szCs w:val="18"/>
        </w:rPr>
        <w:t xml:space="preserve">all of </w:t>
      </w:r>
      <w:r w:rsidRPr="009040AF">
        <w:rPr>
          <w:rFonts w:cs="Arial"/>
        </w:rPr>
        <w:t xml:space="preserve">which can play an important role in strengthening social accountability for health. These </w:t>
      </w:r>
      <w:r w:rsidRPr="009040AF">
        <w:rPr>
          <w:rFonts w:cs="Arial"/>
          <w:szCs w:val="18"/>
        </w:rPr>
        <w:t>bodies act</w:t>
      </w:r>
      <w:r w:rsidRPr="009040AF">
        <w:rPr>
          <w:rFonts w:cs="Arial"/>
        </w:rPr>
        <w:t xml:space="preserve"> beyond the focus of this work</w:t>
      </w:r>
      <w:r w:rsidRPr="009040AF">
        <w:rPr>
          <w:rFonts w:cs="Arial"/>
          <w:szCs w:val="18"/>
        </w:rPr>
        <w:t>,</w:t>
      </w:r>
      <w:r w:rsidRPr="009040AF">
        <w:rPr>
          <w:rFonts w:cs="Arial"/>
        </w:rPr>
        <w:t xml:space="preserve"> but they will be important partners for advocacy at country level. </w:t>
      </w:r>
    </w:p>
  </w:footnote>
  <w:footnote w:id="4">
    <w:p w14:paraId="1EBB1001" w14:textId="77777777" w:rsidR="0034750B" w:rsidRPr="009040AF" w:rsidRDefault="0034750B" w:rsidP="0034750B">
      <w:pPr>
        <w:pStyle w:val="FootnoteText"/>
        <w:ind w:left="284" w:hanging="284"/>
        <w:rPr>
          <w:rFonts w:cs="Arial"/>
        </w:rPr>
      </w:pPr>
      <w:r w:rsidRPr="009040AF">
        <w:rPr>
          <w:rStyle w:val="FootnoteReference"/>
          <w:rFonts w:cs="Arial"/>
        </w:rPr>
        <w:footnoteRef/>
      </w:r>
      <w:r w:rsidRPr="009040AF">
        <w:rPr>
          <w:rFonts w:cs="Arial"/>
        </w:rPr>
        <w:t xml:space="preserve"> </w:t>
      </w:r>
      <w:r w:rsidRPr="009040AF">
        <w:rPr>
          <w:rFonts w:cs="Arial"/>
          <w:szCs w:val="18"/>
        </w:rPr>
        <w:tab/>
      </w:r>
      <w:r w:rsidRPr="009040AF">
        <w:rPr>
          <w:rFonts w:cs="Arial"/>
        </w:rPr>
        <w:t xml:space="preserve">This includes the </w:t>
      </w:r>
      <w:r w:rsidRPr="009040AF">
        <w:rPr>
          <w:rFonts w:cs="Arial"/>
          <w:szCs w:val="18"/>
        </w:rPr>
        <w:t>“</w:t>
      </w:r>
      <w:r w:rsidRPr="009040AF">
        <w:rPr>
          <w:rFonts w:cs="Arial"/>
        </w:rPr>
        <w:t xml:space="preserve">Accountability </w:t>
      </w:r>
      <w:r w:rsidRPr="009040AF">
        <w:rPr>
          <w:rFonts w:cs="Arial"/>
          <w:szCs w:val="18"/>
        </w:rPr>
        <w:t>loop</w:t>
      </w:r>
      <w:r w:rsidRPr="009040AF">
        <w:rPr>
          <w:rFonts w:cs="Arial"/>
        </w:rPr>
        <w:t xml:space="preserve"> for </w:t>
      </w:r>
      <w:r w:rsidRPr="009040AF">
        <w:rPr>
          <w:rFonts w:cs="Arial"/>
          <w:szCs w:val="18"/>
        </w:rPr>
        <w:t xml:space="preserve">health budget advocacy” </w:t>
      </w:r>
      <w:r w:rsidRPr="009040AF">
        <w:rPr>
          <w:rFonts w:cs="Arial"/>
          <w:i/>
          <w:szCs w:val="18"/>
        </w:rPr>
        <w:t>(5)</w:t>
      </w:r>
      <w:r w:rsidRPr="009040AF">
        <w:rPr>
          <w:rFonts w:cs="Arial"/>
          <w:szCs w:val="18"/>
        </w:rPr>
        <w:t>,</w:t>
      </w:r>
      <w:r w:rsidRPr="009040AF">
        <w:rPr>
          <w:rFonts w:cs="Arial"/>
        </w:rPr>
        <w:t xml:space="preserve"> conducted by a </w:t>
      </w:r>
      <w:r w:rsidRPr="009040AF">
        <w:rPr>
          <w:rFonts w:cs="Arial"/>
          <w:szCs w:val="18"/>
        </w:rPr>
        <w:t>number</w:t>
      </w:r>
      <w:r w:rsidRPr="009040AF">
        <w:rPr>
          <w:rFonts w:cs="Arial"/>
        </w:rPr>
        <w:t xml:space="preserve"> of partners to strengthen accountability </w:t>
      </w:r>
      <w:r w:rsidRPr="009040AF">
        <w:rPr>
          <w:rFonts w:cs="Arial"/>
          <w:szCs w:val="18"/>
        </w:rPr>
        <w:t>for following</w:t>
      </w:r>
      <w:r w:rsidRPr="009040AF">
        <w:rPr>
          <w:rFonts w:cs="Arial"/>
        </w:rPr>
        <w:t xml:space="preserve">-up the recommendations of the Commission on Information and Accountability for the Secretary General’s Global Strategy for Women and Children’s Health. </w:t>
      </w:r>
      <w:r w:rsidRPr="009040AF">
        <w:rPr>
          <w:rFonts w:cs="Arial"/>
          <w:szCs w:val="18"/>
        </w:rPr>
        <w:t xml:space="preserve">See references </w:t>
      </w:r>
      <w:r w:rsidRPr="009040AF">
        <w:rPr>
          <w:rFonts w:cs="Arial"/>
          <w:i/>
          <w:szCs w:val="18"/>
        </w:rPr>
        <w:t>5–7</w:t>
      </w:r>
      <w:r w:rsidRPr="009040AF">
        <w:rPr>
          <w:rFonts w:cs="Arial"/>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BC6"/>
    <w:multiLevelType w:val="hybridMultilevel"/>
    <w:tmpl w:val="B802A8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A813F1"/>
    <w:multiLevelType w:val="hybridMultilevel"/>
    <w:tmpl w:val="78C2276C"/>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06563"/>
    <w:rsid w:val="00042CC5"/>
    <w:rsid w:val="000F6926"/>
    <w:rsid w:val="0010520A"/>
    <w:rsid w:val="00125532"/>
    <w:rsid w:val="002728A6"/>
    <w:rsid w:val="00302E0F"/>
    <w:rsid w:val="0034750B"/>
    <w:rsid w:val="00431272"/>
    <w:rsid w:val="004334AD"/>
    <w:rsid w:val="0067483E"/>
    <w:rsid w:val="007A4CB0"/>
    <w:rsid w:val="007E23C4"/>
    <w:rsid w:val="008727E7"/>
    <w:rsid w:val="00873C3C"/>
    <w:rsid w:val="009429C2"/>
    <w:rsid w:val="00953035"/>
    <w:rsid w:val="00955AD9"/>
    <w:rsid w:val="00A0194E"/>
    <w:rsid w:val="00A431D5"/>
    <w:rsid w:val="00B45B06"/>
    <w:rsid w:val="00B95885"/>
    <w:rsid w:val="00D32D48"/>
    <w:rsid w:val="00EC272E"/>
    <w:rsid w:val="00EF2561"/>
  </w:rsids>
  <m:mathPr>
    <m:mathFont m:val="Cambria Math"/>
    <m:brkBin m:val="before"/>
    <m:brkBinSub m:val="--"/>
    <m:smallFrac m:val="0"/>
    <m:dispDef/>
    <m:lMargin m:val="0"/>
    <m:rMargin m:val="0"/>
    <m:defJc m:val="centerGroup"/>
    <m:wrapIndent m:val="1440"/>
    <m:intLim m:val="subSup"/>
    <m:naryLim m:val="undOvr"/>
  </m:mathPr>
  <w:themeFontLang w:val="en-CA"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CommentReference">
    <w:name w:val="annotation reference"/>
    <w:basedOn w:val="DefaultParagraphFont"/>
    <w:uiPriority w:val="99"/>
    <w:semiHidden/>
    <w:unhideWhenUsed/>
    <w:rsid w:val="00302E0F"/>
    <w:rPr>
      <w:sz w:val="16"/>
      <w:szCs w:val="16"/>
    </w:rPr>
  </w:style>
  <w:style w:type="paragraph" w:styleId="CommentText">
    <w:name w:val="annotation text"/>
    <w:basedOn w:val="Normal"/>
    <w:link w:val="CommentTextChar"/>
    <w:uiPriority w:val="99"/>
    <w:semiHidden/>
    <w:unhideWhenUsed/>
    <w:rsid w:val="00302E0F"/>
    <w:rPr>
      <w:sz w:val="20"/>
      <w:szCs w:val="20"/>
    </w:rPr>
  </w:style>
  <w:style w:type="character" w:customStyle="1" w:styleId="CommentTextChar">
    <w:name w:val="Comment Text Char"/>
    <w:basedOn w:val="DefaultParagraphFont"/>
    <w:link w:val="CommentText"/>
    <w:uiPriority w:val="99"/>
    <w:semiHidden/>
    <w:rsid w:val="00302E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02E0F"/>
    <w:rPr>
      <w:b/>
      <w:bCs/>
    </w:rPr>
  </w:style>
  <w:style w:type="character" w:customStyle="1" w:styleId="CommentSubjectChar">
    <w:name w:val="Comment Subject Char"/>
    <w:basedOn w:val="CommentTextChar"/>
    <w:link w:val="CommentSubject"/>
    <w:uiPriority w:val="99"/>
    <w:semiHidden/>
    <w:rsid w:val="00302E0F"/>
    <w:rPr>
      <w:rFonts w:eastAsiaTheme="minorEastAsia"/>
      <w:b/>
      <w:bCs/>
      <w:sz w:val="20"/>
      <w:szCs w:val="20"/>
    </w:rPr>
  </w:style>
  <w:style w:type="paragraph" w:styleId="BalloonText">
    <w:name w:val="Balloon Text"/>
    <w:basedOn w:val="Normal"/>
    <w:link w:val="BalloonTextChar"/>
    <w:uiPriority w:val="99"/>
    <w:semiHidden/>
    <w:unhideWhenUsed/>
    <w:rsid w:val="00302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0F"/>
    <w:rPr>
      <w:rFonts w:ascii="Segoe UI" w:eastAsiaTheme="minorEastAsia" w:hAnsi="Segoe UI" w:cs="Segoe UI"/>
      <w:sz w:val="18"/>
      <w:szCs w:val="18"/>
    </w:rPr>
  </w:style>
  <w:style w:type="table" w:styleId="MediumShading1-Accent1">
    <w:name w:val="Medium Shading 1 Accent 1"/>
    <w:basedOn w:val="TableNormal"/>
    <w:uiPriority w:val="63"/>
    <w:semiHidden/>
    <w:unhideWhenUsed/>
    <w:rsid w:val="00955AD9"/>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SKARPHEDINSDOTTIR, Maria</cp:lastModifiedBy>
  <cp:revision>14</cp:revision>
  <cp:lastPrinted>2021-05-19T21:50:00Z</cp:lastPrinted>
  <dcterms:created xsi:type="dcterms:W3CDTF">2021-05-17T19:08:00Z</dcterms:created>
  <dcterms:modified xsi:type="dcterms:W3CDTF">2021-05-19T21:50:00Z</dcterms:modified>
</cp:coreProperties>
</file>