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DB78" w14:textId="06EBCF46" w:rsidR="002D2BE4" w:rsidRPr="00093C31" w:rsidRDefault="002D2BE4" w:rsidP="002D2BE4">
      <w:pPr>
        <w:pStyle w:val="Heading1"/>
        <w:jc w:val="left"/>
      </w:pPr>
      <w:bookmarkStart w:id="0" w:name="_Toc72157302"/>
      <w:r w:rsidRPr="00093C31">
        <w:t>A6. Role of public finance</w:t>
      </w:r>
      <w:bookmarkEnd w:id="0"/>
    </w:p>
    <w:p w14:paraId="5C5E2552" w14:textId="77777777" w:rsidR="002D2BE4" w:rsidRDefault="002D2BE4" w:rsidP="002D2BE4">
      <w:pPr>
        <w:spacing w:after="120"/>
        <w:jc w:val="both"/>
        <w:rPr>
          <w:rFonts w:ascii="Arial" w:hAnsi="Arial" w:cs="Arial"/>
          <w:sz w:val="22"/>
        </w:rPr>
      </w:pPr>
    </w:p>
    <w:p w14:paraId="36FF4CFB" w14:textId="1F7B6854" w:rsidR="002D2BE4" w:rsidRPr="00093C31" w:rsidRDefault="002D2BE4" w:rsidP="002D2BE4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To build strong health systems based on primary </w:t>
      </w:r>
      <w:r w:rsidRPr="00093C31">
        <w:rPr>
          <w:rFonts w:ascii="Arial" w:hAnsi="Arial" w:cs="Arial"/>
          <w:sz w:val="22"/>
          <w:szCs w:val="22"/>
        </w:rPr>
        <w:t>health care</w:t>
      </w:r>
      <w:r w:rsidRPr="00093C31">
        <w:rPr>
          <w:rFonts w:ascii="Arial" w:hAnsi="Arial" w:cs="Arial"/>
          <w:sz w:val="22"/>
        </w:rPr>
        <w:t xml:space="preserve"> for UHC and to secure financial protection for all people, robust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equitable financing systems</w:t>
      </w:r>
      <w:r w:rsidRPr="00093C31">
        <w:rPr>
          <w:rFonts w:ascii="Arial" w:hAnsi="Arial" w:cs="Arial"/>
          <w:sz w:val="22"/>
          <w:szCs w:val="22"/>
        </w:rPr>
        <w:t xml:space="preserve"> are required.</w:t>
      </w:r>
      <w:r w:rsidRPr="00093C31">
        <w:rPr>
          <w:rFonts w:ascii="Arial" w:hAnsi="Arial" w:cs="Arial"/>
          <w:sz w:val="22"/>
        </w:rPr>
        <w:t xml:space="preserve"> The </w:t>
      </w:r>
      <w:r w:rsidRPr="00093C31">
        <w:rPr>
          <w:rFonts w:ascii="Arial" w:hAnsi="Arial" w:cs="Arial"/>
          <w:sz w:val="22"/>
          <w:szCs w:val="22"/>
        </w:rPr>
        <w:t>modules</w:t>
      </w:r>
      <w:r w:rsidRPr="00093C31">
        <w:rPr>
          <w:rFonts w:ascii="Arial" w:hAnsi="Arial" w:cs="Arial"/>
          <w:sz w:val="22"/>
        </w:rPr>
        <w:t xml:space="preserve"> that follow provide more detailed information and analysis</w:t>
      </w:r>
      <w:r w:rsidRPr="00093C31">
        <w:rPr>
          <w:rFonts w:ascii="Arial" w:hAnsi="Arial" w:cs="Arial"/>
          <w:sz w:val="22"/>
          <w:szCs w:val="22"/>
        </w:rPr>
        <w:t>; however,</w:t>
      </w:r>
      <w:r w:rsidRPr="00093C31">
        <w:rPr>
          <w:rFonts w:ascii="Arial" w:hAnsi="Arial" w:cs="Arial"/>
          <w:sz w:val="22"/>
        </w:rPr>
        <w:t xml:space="preserve"> some concepts </w:t>
      </w:r>
      <w:r w:rsidRPr="00093C31">
        <w:rPr>
          <w:rFonts w:ascii="Arial" w:hAnsi="Arial" w:cs="Arial"/>
          <w:sz w:val="22"/>
          <w:szCs w:val="22"/>
        </w:rPr>
        <w:t xml:space="preserve">are introduced </w:t>
      </w:r>
      <w:r w:rsidRPr="00093C31">
        <w:rPr>
          <w:rFonts w:ascii="Arial" w:hAnsi="Arial" w:cs="Arial"/>
          <w:sz w:val="22"/>
        </w:rPr>
        <w:t xml:space="preserve">here. </w:t>
      </w:r>
    </w:p>
    <w:p w14:paraId="7B391079" w14:textId="77777777" w:rsidR="002D2BE4" w:rsidRPr="00093C31" w:rsidRDefault="002D2BE4" w:rsidP="002D2BE4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>Essential criteria</w:t>
      </w:r>
      <w:r w:rsidRPr="00093C31">
        <w:rPr>
          <w:rFonts w:ascii="Arial" w:hAnsi="Arial" w:cs="Arial"/>
          <w:sz w:val="22"/>
        </w:rPr>
        <w:t xml:space="preserve"> for health financing for UHC </w:t>
      </w:r>
      <w:r w:rsidRPr="00093C31">
        <w:rPr>
          <w:rFonts w:ascii="Arial" w:hAnsi="Arial" w:cs="Arial"/>
          <w:sz w:val="22"/>
          <w:szCs w:val="22"/>
        </w:rPr>
        <w:t xml:space="preserve">are </w:t>
      </w:r>
      <w:r w:rsidRPr="00093C31">
        <w:rPr>
          <w:rFonts w:ascii="Arial" w:hAnsi="Arial" w:cs="Arial"/>
          <w:i/>
          <w:sz w:val="22"/>
          <w:szCs w:val="22"/>
        </w:rPr>
        <w:t>(28)</w:t>
      </w:r>
      <w:r w:rsidRPr="00093C31">
        <w:rPr>
          <w:rFonts w:ascii="Arial" w:hAnsi="Arial" w:cs="Arial"/>
          <w:sz w:val="22"/>
          <w:szCs w:val="22"/>
        </w:rPr>
        <w:t>:</w:t>
      </w:r>
      <w:r w:rsidRPr="00093C31">
        <w:rPr>
          <w:rFonts w:ascii="Arial" w:hAnsi="Arial" w:cs="Arial"/>
          <w:sz w:val="22"/>
        </w:rPr>
        <w:t xml:space="preserve"> </w:t>
      </w:r>
    </w:p>
    <w:p w14:paraId="5739E33F" w14:textId="77777777" w:rsidR="002D2BE4" w:rsidRPr="00093C31" w:rsidRDefault="002D2BE4" w:rsidP="002D2BE4">
      <w:pPr>
        <w:numPr>
          <w:ilvl w:val="0"/>
          <w:numId w:val="7"/>
        </w:numPr>
        <w:spacing w:after="120"/>
        <w:ind w:left="426" w:hanging="284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automatic</w:t>
      </w:r>
      <w:r w:rsidRPr="00093C31">
        <w:rPr>
          <w:rFonts w:ascii="Arial" w:hAnsi="Arial" w:cs="Arial"/>
          <w:b/>
          <w:sz w:val="22"/>
        </w:rPr>
        <w:t xml:space="preserve"> or mandatory entitlement</w:t>
      </w:r>
      <w:r w:rsidRPr="00093C31">
        <w:rPr>
          <w:rFonts w:ascii="Arial" w:hAnsi="Arial" w:cs="Arial"/>
          <w:sz w:val="22"/>
        </w:rPr>
        <w:t xml:space="preserve">: Population coverage should be automatic or mandatory, as a human right, </w:t>
      </w:r>
      <w:r w:rsidRPr="00093C31">
        <w:rPr>
          <w:rFonts w:ascii="Arial" w:hAnsi="Arial" w:cs="Arial"/>
          <w:sz w:val="22"/>
          <w:szCs w:val="22"/>
        </w:rPr>
        <w:t>with</w:t>
      </w:r>
      <w:r w:rsidRPr="00093C31">
        <w:rPr>
          <w:rFonts w:ascii="Arial" w:hAnsi="Arial" w:cs="Arial"/>
          <w:sz w:val="22"/>
        </w:rPr>
        <w:t xml:space="preserve"> no obstacle or condition that determines entitlement, such as employment.</w:t>
      </w:r>
    </w:p>
    <w:p w14:paraId="62CFDA4D" w14:textId="77777777" w:rsidR="002D2BE4" w:rsidRPr="00093C31" w:rsidRDefault="002D2BE4" w:rsidP="002D2BE4">
      <w:pPr>
        <w:numPr>
          <w:ilvl w:val="0"/>
          <w:numId w:val="7"/>
        </w:numPr>
        <w:spacing w:after="120"/>
        <w:ind w:left="426" w:hanging="284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compulsory</w:t>
      </w:r>
      <w:r w:rsidRPr="00093C31">
        <w:rPr>
          <w:rFonts w:ascii="Arial" w:hAnsi="Arial" w:cs="Arial"/>
          <w:b/>
          <w:sz w:val="22"/>
        </w:rPr>
        <w:t xml:space="preserve"> and public financing:</w:t>
      </w:r>
      <w:r w:rsidRPr="00093C31">
        <w:rPr>
          <w:rFonts w:ascii="Arial" w:hAnsi="Arial" w:cs="Arial"/>
          <w:sz w:val="22"/>
        </w:rPr>
        <w:t xml:space="preserve"> Compulsory contributions </w:t>
      </w:r>
      <w:r w:rsidRPr="00093C31">
        <w:rPr>
          <w:rFonts w:ascii="Arial" w:hAnsi="Arial" w:cs="Arial"/>
          <w:sz w:val="22"/>
          <w:szCs w:val="22"/>
        </w:rPr>
        <w:t>should be based on the</w:t>
      </w:r>
      <w:r w:rsidRPr="00093C31">
        <w:rPr>
          <w:rFonts w:ascii="Arial" w:hAnsi="Arial" w:cs="Arial"/>
          <w:sz w:val="22"/>
        </w:rPr>
        <w:t xml:space="preserve"> ability to pay and unrelated to health care needs. </w:t>
      </w:r>
      <w:r w:rsidRPr="00093C31">
        <w:rPr>
          <w:rFonts w:ascii="Arial" w:hAnsi="Arial" w:cs="Arial"/>
          <w:sz w:val="22"/>
          <w:szCs w:val="22"/>
        </w:rPr>
        <w:t>Greater</w:t>
      </w:r>
      <w:r w:rsidRPr="00093C31">
        <w:rPr>
          <w:rFonts w:ascii="Arial" w:hAnsi="Arial" w:cs="Arial"/>
          <w:sz w:val="22"/>
        </w:rPr>
        <w:t xml:space="preserve"> reliance on public funding will mean greater reliance on general government budget revenues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(28)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No country has attained universal population coverage by relying on voluntary contributions to insurance schemes.</w:t>
      </w:r>
    </w:p>
    <w:p w14:paraId="5AF6A3D2" w14:textId="77777777" w:rsidR="002D2BE4" w:rsidRPr="00093C31" w:rsidRDefault="002D2BE4" w:rsidP="002D2BE4">
      <w:pPr>
        <w:numPr>
          <w:ilvl w:val="0"/>
          <w:numId w:val="7"/>
        </w:numPr>
        <w:spacing w:after="120"/>
        <w:ind w:left="426" w:hanging="284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subsidization</w:t>
      </w:r>
      <w:r w:rsidRPr="00093C31">
        <w:rPr>
          <w:rFonts w:ascii="Arial" w:hAnsi="Arial" w:cs="Arial"/>
          <w:sz w:val="22"/>
        </w:rPr>
        <w:t xml:space="preserve"> to minimize fragmentation: Resources for health must be pooled at scale under public oversight to reduce fragmentation.</w:t>
      </w:r>
    </w:p>
    <w:p w14:paraId="42F7A60D" w14:textId="77777777" w:rsidR="002D2BE4" w:rsidRPr="00093C31" w:rsidRDefault="002D2BE4" w:rsidP="002D2BE4">
      <w:pPr>
        <w:numPr>
          <w:ilvl w:val="0"/>
          <w:numId w:val="7"/>
        </w:numPr>
        <w:spacing w:after="120"/>
        <w:ind w:left="426" w:hanging="284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universal</w:t>
      </w:r>
      <w:r w:rsidRPr="00093C31">
        <w:rPr>
          <w:rFonts w:ascii="Arial" w:hAnsi="Arial" w:cs="Arial"/>
          <w:b/>
          <w:sz w:val="22"/>
        </w:rPr>
        <w:t xml:space="preserve"> approach:</w:t>
      </w:r>
      <w:r w:rsidRPr="00093C31">
        <w:rPr>
          <w:rFonts w:ascii="Arial" w:hAnsi="Arial" w:cs="Arial"/>
          <w:sz w:val="22"/>
        </w:rPr>
        <w:t xml:space="preserve"> The unit of analysis is the whole population, </w:t>
      </w:r>
      <w:r w:rsidRPr="00093C31">
        <w:rPr>
          <w:rFonts w:ascii="Arial" w:hAnsi="Arial" w:cs="Arial"/>
          <w:sz w:val="22"/>
          <w:szCs w:val="22"/>
        </w:rPr>
        <w:t>requiring</w:t>
      </w:r>
      <w:r w:rsidRPr="00093C31">
        <w:rPr>
          <w:rFonts w:ascii="Arial" w:hAnsi="Arial" w:cs="Arial"/>
          <w:sz w:val="22"/>
        </w:rPr>
        <w:t xml:space="preserve"> a shift </w:t>
      </w:r>
      <w:r w:rsidRPr="00093C31">
        <w:rPr>
          <w:rFonts w:ascii="Arial" w:hAnsi="Arial" w:cs="Arial"/>
          <w:sz w:val="22"/>
          <w:szCs w:val="22"/>
        </w:rPr>
        <w:t>to</w:t>
      </w:r>
      <w:r w:rsidRPr="00093C31">
        <w:rPr>
          <w:rFonts w:ascii="Arial" w:hAnsi="Arial" w:cs="Arial"/>
          <w:sz w:val="22"/>
        </w:rPr>
        <w:t xml:space="preserve"> an inclusive, universal system.</w:t>
      </w:r>
    </w:p>
    <w:p w14:paraId="31AA16BE" w14:textId="77777777" w:rsidR="002D2BE4" w:rsidRPr="00093C31" w:rsidRDefault="002D2BE4" w:rsidP="002D2BE4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>Key functions of health financing</w:t>
      </w:r>
      <w:r w:rsidRPr="00093C31">
        <w:rPr>
          <w:rFonts w:ascii="Arial" w:hAnsi="Arial" w:cs="Arial"/>
          <w:sz w:val="22"/>
        </w:rPr>
        <w:t xml:space="preserve"> are revenue raising, pooling and purchasing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(29)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All countries have policies </w:t>
      </w:r>
      <w:r w:rsidRPr="00093C31">
        <w:rPr>
          <w:rFonts w:ascii="Arial" w:hAnsi="Arial" w:cs="Arial"/>
          <w:sz w:val="22"/>
          <w:szCs w:val="22"/>
        </w:rPr>
        <w:t>in which</w:t>
      </w:r>
      <w:r w:rsidRPr="00093C31">
        <w:rPr>
          <w:rFonts w:ascii="Arial" w:hAnsi="Arial" w:cs="Arial"/>
          <w:sz w:val="22"/>
        </w:rPr>
        <w:t xml:space="preserve"> benefits </w:t>
      </w:r>
      <w:r w:rsidRPr="00093C31">
        <w:rPr>
          <w:rFonts w:ascii="Arial" w:hAnsi="Arial" w:cs="Arial"/>
          <w:sz w:val="22"/>
          <w:szCs w:val="22"/>
        </w:rPr>
        <w:t xml:space="preserve">are </w:t>
      </w:r>
      <w:r w:rsidRPr="00093C31">
        <w:rPr>
          <w:rFonts w:ascii="Arial" w:hAnsi="Arial" w:cs="Arial"/>
          <w:sz w:val="22"/>
        </w:rPr>
        <w:t>funded by government</w:t>
      </w:r>
      <w:r w:rsidRPr="00093C31">
        <w:rPr>
          <w:rFonts w:ascii="Arial" w:hAnsi="Arial" w:cs="Arial"/>
          <w:sz w:val="22"/>
          <w:szCs w:val="22"/>
        </w:rPr>
        <w:t>; in other countries,</w:t>
      </w:r>
      <w:r w:rsidRPr="00093C31">
        <w:rPr>
          <w:rFonts w:ascii="Arial" w:hAnsi="Arial" w:cs="Arial"/>
          <w:sz w:val="22"/>
        </w:rPr>
        <w:t xml:space="preserve"> those </w:t>
      </w:r>
      <w:r w:rsidRPr="00093C31">
        <w:rPr>
          <w:rFonts w:ascii="Arial" w:hAnsi="Arial" w:cs="Arial"/>
          <w:sz w:val="22"/>
          <w:szCs w:val="22"/>
        </w:rPr>
        <w:t>that are</w:t>
      </w:r>
      <w:r w:rsidRPr="00093C31">
        <w:rPr>
          <w:rFonts w:ascii="Arial" w:hAnsi="Arial" w:cs="Arial"/>
          <w:sz w:val="22"/>
        </w:rPr>
        <w:t xml:space="preserve"> not covered</w:t>
      </w:r>
      <w:r w:rsidRPr="00093C31">
        <w:rPr>
          <w:rFonts w:ascii="Arial" w:hAnsi="Arial" w:cs="Arial"/>
          <w:sz w:val="22"/>
          <w:szCs w:val="22"/>
        </w:rPr>
        <w:t xml:space="preserve"> and paid</w:t>
      </w:r>
      <w:r w:rsidRPr="00093C31">
        <w:rPr>
          <w:rFonts w:ascii="Arial" w:hAnsi="Arial" w:cs="Arial"/>
          <w:sz w:val="22"/>
        </w:rPr>
        <w:t xml:space="preserve"> for </w:t>
      </w:r>
      <w:r w:rsidRPr="00093C31">
        <w:rPr>
          <w:rFonts w:ascii="Arial" w:hAnsi="Arial" w:cs="Arial"/>
          <w:sz w:val="22"/>
          <w:szCs w:val="22"/>
        </w:rPr>
        <w:t>by</w:t>
      </w:r>
      <w:r w:rsidRPr="00093C31">
        <w:rPr>
          <w:rFonts w:ascii="Arial" w:hAnsi="Arial" w:cs="Arial"/>
          <w:sz w:val="22"/>
        </w:rPr>
        <w:t xml:space="preserve"> patients </w:t>
      </w:r>
      <w:r w:rsidRPr="00093C31">
        <w:rPr>
          <w:rFonts w:ascii="Arial" w:hAnsi="Arial" w:cs="Arial"/>
          <w:sz w:val="22"/>
          <w:szCs w:val="22"/>
        </w:rPr>
        <w:t>through</w:t>
      </w:r>
      <w:r w:rsidRPr="00093C31">
        <w:rPr>
          <w:rFonts w:ascii="Arial" w:hAnsi="Arial" w:cs="Arial"/>
          <w:sz w:val="22"/>
        </w:rPr>
        <w:t xml:space="preserve"> user fees (sometimes called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co-payments</w:t>
      </w:r>
      <w:r w:rsidRPr="00093C31">
        <w:rPr>
          <w:rFonts w:ascii="Arial" w:hAnsi="Arial" w:cs="Arial"/>
          <w:sz w:val="22"/>
          <w:szCs w:val="22"/>
        </w:rPr>
        <w:t>”).</w:t>
      </w:r>
      <w:r w:rsidRPr="00093C31">
        <w:rPr>
          <w:rFonts w:ascii="Arial" w:hAnsi="Arial" w:cs="Arial"/>
          <w:sz w:val="22"/>
        </w:rPr>
        <w:t xml:space="preserve"> WHO </w:t>
      </w:r>
      <w:r w:rsidRPr="00093C31">
        <w:rPr>
          <w:rFonts w:ascii="Arial" w:hAnsi="Arial" w:cs="Arial"/>
          <w:sz w:val="22"/>
          <w:szCs w:val="22"/>
        </w:rPr>
        <w:t>has identified</w:t>
      </w:r>
      <w:r w:rsidRPr="00093C31">
        <w:rPr>
          <w:rFonts w:ascii="Arial" w:hAnsi="Arial" w:cs="Arial"/>
          <w:sz w:val="22"/>
        </w:rPr>
        <w:t xml:space="preserve"> principles or signposts for each of the health financing sub-functions and policy areas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(30)</w:t>
      </w:r>
      <w:r w:rsidRPr="00093C31">
        <w:rPr>
          <w:rFonts w:ascii="Arial" w:hAnsi="Arial" w:cs="Arial"/>
          <w:sz w:val="22"/>
          <w:szCs w:val="22"/>
        </w:rPr>
        <w:t>:</w:t>
      </w:r>
    </w:p>
    <w:p w14:paraId="65373E94" w14:textId="77777777" w:rsidR="002D2BE4" w:rsidRPr="00093C31" w:rsidRDefault="002D2BE4" w:rsidP="002D2BE4">
      <w:pPr>
        <w:numPr>
          <w:ilvl w:val="0"/>
          <w:numId w:val="8"/>
        </w:numPr>
        <w:spacing w:after="120"/>
        <w:ind w:left="426" w:hanging="284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>Revenue generation</w:t>
      </w:r>
      <w:r w:rsidRPr="00093C31">
        <w:rPr>
          <w:rFonts w:ascii="Arial" w:hAnsi="Arial" w:cs="Arial"/>
          <w:sz w:val="22"/>
        </w:rPr>
        <w:t xml:space="preserve">: </w:t>
      </w:r>
    </w:p>
    <w:p w14:paraId="13689F84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Move towards predominant reliance on public</w:t>
      </w:r>
      <w:r w:rsidRPr="00093C31">
        <w:rPr>
          <w:rFonts w:ascii="Arial" w:hAnsi="Arial" w:cs="Arial"/>
          <w:sz w:val="22"/>
          <w:szCs w:val="22"/>
        </w:rPr>
        <w:t xml:space="preserve"> or </w:t>
      </w:r>
      <w:r w:rsidRPr="00093C31">
        <w:rPr>
          <w:rFonts w:ascii="Arial" w:hAnsi="Arial" w:cs="Arial"/>
          <w:sz w:val="22"/>
        </w:rPr>
        <w:t>compulsory funding sources (</w:t>
      </w:r>
      <w:proofErr w:type="gramStart"/>
      <w:r w:rsidRPr="00093C31">
        <w:rPr>
          <w:rFonts w:ascii="Arial" w:hAnsi="Arial" w:cs="Arial"/>
          <w:sz w:val="22"/>
        </w:rPr>
        <w:t>i.e.</w:t>
      </w:r>
      <w:proofErr w:type="gramEnd"/>
      <w:r w:rsidRPr="00093C31">
        <w:rPr>
          <w:rFonts w:ascii="Arial" w:hAnsi="Arial" w:cs="Arial"/>
          <w:sz w:val="22"/>
        </w:rPr>
        <w:t xml:space="preserve"> some form of taxation), reducing the share of total health spending from private</w:t>
      </w:r>
      <w:r w:rsidRPr="00093C31">
        <w:rPr>
          <w:rFonts w:ascii="Arial" w:hAnsi="Arial" w:cs="Arial"/>
          <w:sz w:val="22"/>
          <w:szCs w:val="22"/>
        </w:rPr>
        <w:t xml:space="preserve"> or </w:t>
      </w:r>
      <w:r w:rsidRPr="00093C31">
        <w:rPr>
          <w:rFonts w:ascii="Arial" w:hAnsi="Arial" w:cs="Arial"/>
          <w:sz w:val="22"/>
        </w:rPr>
        <w:t>voluntary sources, and particularly out-of-pocket</w:t>
      </w:r>
      <w:r w:rsidRPr="00093C31">
        <w:rPr>
          <w:rFonts w:ascii="Arial" w:hAnsi="Arial" w:cs="Arial"/>
          <w:sz w:val="22"/>
          <w:szCs w:val="22"/>
        </w:rPr>
        <w:t>.</w:t>
      </w:r>
    </w:p>
    <w:p w14:paraId="2FBC4613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Increase </w:t>
      </w: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 xml:space="preserve">predictability </w:t>
      </w:r>
      <w:r w:rsidRPr="00093C31">
        <w:rPr>
          <w:rFonts w:ascii="Arial" w:hAnsi="Arial" w:cs="Arial"/>
          <w:sz w:val="22"/>
          <w:szCs w:val="22"/>
        </w:rPr>
        <w:t>of</w:t>
      </w:r>
      <w:r w:rsidRPr="00093C31">
        <w:rPr>
          <w:rFonts w:ascii="Arial" w:hAnsi="Arial" w:cs="Arial"/>
          <w:sz w:val="22"/>
        </w:rPr>
        <w:t xml:space="preserve"> the level of public (and external) funding over </w:t>
      </w:r>
      <w:r w:rsidRPr="00093C31">
        <w:rPr>
          <w:rFonts w:ascii="Arial" w:hAnsi="Arial" w:cs="Arial"/>
          <w:sz w:val="22"/>
          <w:szCs w:val="22"/>
        </w:rPr>
        <w:t>several</w:t>
      </w:r>
      <w:r w:rsidRPr="00093C31">
        <w:rPr>
          <w:rFonts w:ascii="Arial" w:hAnsi="Arial" w:cs="Arial"/>
          <w:sz w:val="22"/>
        </w:rPr>
        <w:t xml:space="preserve"> years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64D90671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Improve stability (</w:t>
      </w:r>
      <w:proofErr w:type="gramStart"/>
      <w:r w:rsidRPr="00093C31">
        <w:rPr>
          <w:rFonts w:ascii="Arial" w:hAnsi="Arial" w:cs="Arial"/>
          <w:sz w:val="22"/>
        </w:rPr>
        <w:t>i.e.</w:t>
      </w:r>
      <w:proofErr w:type="gramEnd"/>
      <w:r w:rsidRPr="00093C31">
        <w:rPr>
          <w:rFonts w:ascii="Arial" w:hAnsi="Arial" w:cs="Arial"/>
          <w:sz w:val="22"/>
        </w:rPr>
        <w:t xml:space="preserve"> regular budget execution) in the flow of public (and external) funds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74D8F816" w14:textId="77777777" w:rsidR="002D2BE4" w:rsidRPr="00093C31" w:rsidRDefault="002D2BE4" w:rsidP="002D2BE4">
      <w:pPr>
        <w:numPr>
          <w:ilvl w:val="0"/>
          <w:numId w:val="8"/>
        </w:numPr>
        <w:spacing w:after="120"/>
        <w:ind w:left="426" w:hanging="284"/>
        <w:contextualSpacing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sz w:val="22"/>
        </w:rPr>
        <w:t>Pooling:</w:t>
      </w:r>
    </w:p>
    <w:p w14:paraId="42B2586E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Enhance the redistributive capacity of available prepaid funds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4EF7584A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Ensure</w:t>
      </w:r>
      <w:r w:rsidRPr="00093C31">
        <w:rPr>
          <w:rFonts w:ascii="Arial" w:hAnsi="Arial" w:cs="Arial"/>
          <w:sz w:val="22"/>
        </w:rPr>
        <w:t xml:space="preserve"> explicit complementarity of different funding sources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0202F10B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Reduce fragmentation, duplication and overlap</w:t>
      </w:r>
      <w:r w:rsidRPr="00093C31">
        <w:rPr>
          <w:rFonts w:ascii="Arial" w:hAnsi="Arial" w:cs="Arial"/>
          <w:sz w:val="22"/>
          <w:szCs w:val="22"/>
        </w:rPr>
        <w:t>.</w:t>
      </w:r>
    </w:p>
    <w:p w14:paraId="45E5E486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Simplify financial flows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1F7CC4FF" w14:textId="77777777" w:rsidR="002D2BE4" w:rsidRPr="00093C31" w:rsidRDefault="002D2BE4" w:rsidP="002D2BE4">
      <w:pPr>
        <w:numPr>
          <w:ilvl w:val="0"/>
          <w:numId w:val="8"/>
        </w:numPr>
        <w:spacing w:after="120"/>
        <w:ind w:left="426" w:hanging="284"/>
        <w:contextualSpacing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sz w:val="22"/>
        </w:rPr>
        <w:t xml:space="preserve">Strategic purchasing: </w:t>
      </w:r>
    </w:p>
    <w:p w14:paraId="109E2CBA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lastRenderedPageBreak/>
        <w:t xml:space="preserve">Increase the </w:t>
      </w:r>
      <w:r w:rsidRPr="00093C31">
        <w:rPr>
          <w:rFonts w:ascii="Arial" w:hAnsi="Arial" w:cs="Arial"/>
          <w:sz w:val="22"/>
          <w:szCs w:val="22"/>
        </w:rPr>
        <w:t>degree</w:t>
      </w:r>
      <w:r w:rsidRPr="00093C31">
        <w:rPr>
          <w:rFonts w:ascii="Arial" w:hAnsi="Arial" w:cs="Arial"/>
          <w:sz w:val="22"/>
        </w:rPr>
        <w:t xml:space="preserve"> to which allocation of resources to providers is linked to population health needs, information on provider performance or a combination of </w:t>
      </w:r>
      <w:r w:rsidRPr="00093C31">
        <w:rPr>
          <w:rFonts w:ascii="Arial" w:hAnsi="Arial" w:cs="Arial"/>
          <w:sz w:val="22"/>
          <w:szCs w:val="22"/>
        </w:rPr>
        <w:t>the two.</w:t>
      </w:r>
    </w:p>
    <w:p w14:paraId="1F2696FE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Move away from the extremes of rigid, input-based </w:t>
      </w:r>
      <w:proofErr w:type="gramStart"/>
      <w:r w:rsidRPr="00093C31">
        <w:rPr>
          <w:rFonts w:ascii="Arial" w:hAnsi="Arial" w:cs="Arial"/>
          <w:sz w:val="22"/>
        </w:rPr>
        <w:t>line item</w:t>
      </w:r>
      <w:proofErr w:type="gramEnd"/>
      <w:r w:rsidRPr="00093C31">
        <w:rPr>
          <w:rFonts w:ascii="Arial" w:hAnsi="Arial" w:cs="Arial"/>
          <w:sz w:val="22"/>
        </w:rPr>
        <w:t xml:space="preserve"> budgets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completely unmanaged fee-for-service reimbursement</w:t>
      </w:r>
      <w:r w:rsidRPr="00093C31">
        <w:rPr>
          <w:rFonts w:ascii="Arial" w:hAnsi="Arial" w:cs="Arial"/>
          <w:sz w:val="22"/>
          <w:szCs w:val="22"/>
        </w:rPr>
        <w:t>.</w:t>
      </w:r>
    </w:p>
    <w:p w14:paraId="267B4353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Manage expenditure growth, for example by avoiding open-ended commitments in provider payment arrangements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61D291B4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Move towards a unified data platform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patient activity, even if there are </w:t>
      </w:r>
      <w:r w:rsidRPr="00093C31">
        <w:rPr>
          <w:rFonts w:ascii="Arial" w:hAnsi="Arial" w:cs="Arial"/>
          <w:sz w:val="22"/>
          <w:szCs w:val="22"/>
        </w:rPr>
        <w:t>several</w:t>
      </w:r>
      <w:r w:rsidRPr="00093C31">
        <w:rPr>
          <w:rFonts w:ascii="Arial" w:hAnsi="Arial" w:cs="Arial"/>
          <w:sz w:val="22"/>
        </w:rPr>
        <w:t xml:space="preserve"> health financing </w:t>
      </w:r>
      <w:r w:rsidRPr="00093C31">
        <w:rPr>
          <w:rFonts w:ascii="Arial" w:hAnsi="Arial" w:cs="Arial"/>
          <w:sz w:val="22"/>
          <w:szCs w:val="22"/>
        </w:rPr>
        <w:t>or</w:t>
      </w:r>
      <w:r w:rsidRPr="00093C31">
        <w:rPr>
          <w:rFonts w:ascii="Arial" w:hAnsi="Arial" w:cs="Arial"/>
          <w:sz w:val="22"/>
        </w:rPr>
        <w:t xml:space="preserve"> health coverage schemes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662C9C53" w14:textId="77777777" w:rsidR="002D2BE4" w:rsidRPr="00093C31" w:rsidRDefault="002D2BE4" w:rsidP="002D2BE4">
      <w:pPr>
        <w:numPr>
          <w:ilvl w:val="0"/>
          <w:numId w:val="8"/>
        </w:numPr>
        <w:spacing w:after="120"/>
        <w:ind w:left="426" w:hanging="284"/>
        <w:contextualSpacing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sz w:val="22"/>
        </w:rPr>
        <w:t>Benefit design:</w:t>
      </w:r>
    </w:p>
    <w:p w14:paraId="5876189B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Clarify the population’s legal entitlements and obligations (who is entitled to what services and what, if anything, they are meant to pay at the point of use</w:t>
      </w:r>
      <w:r w:rsidRPr="00093C31">
        <w:rPr>
          <w:rFonts w:ascii="Arial" w:hAnsi="Arial" w:cs="Arial"/>
          <w:sz w:val="22"/>
          <w:szCs w:val="22"/>
        </w:rPr>
        <w:t>).</w:t>
      </w:r>
    </w:p>
    <w:p w14:paraId="459AE732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Improve the population’s awareness of both their legal entitlements and their obligations as beneficiaries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62A450CA" w14:textId="77777777" w:rsidR="002D2BE4" w:rsidRPr="00093C31" w:rsidRDefault="002D2BE4" w:rsidP="002D2BE4">
      <w:pPr>
        <w:numPr>
          <w:ilvl w:val="1"/>
          <w:numId w:val="8"/>
        </w:numPr>
        <w:spacing w:after="120"/>
        <w:ind w:left="709" w:hanging="283"/>
        <w:contextualSpacing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Align promised benefits, or entitlements, with provider payment mechanisms</w:t>
      </w:r>
      <w:r w:rsidRPr="00093C31">
        <w:rPr>
          <w:rFonts w:ascii="Arial" w:hAnsi="Arial" w:cs="Arial"/>
          <w:sz w:val="22"/>
          <w:szCs w:val="22"/>
        </w:rPr>
        <w:t>.</w:t>
      </w:r>
    </w:p>
    <w:p w14:paraId="54BC373D" w14:textId="77777777" w:rsidR="002D2BE4" w:rsidRPr="00093C31" w:rsidRDefault="002D2BE4" w:rsidP="002D2BE4">
      <w:pPr>
        <w:spacing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3A0018A" w14:textId="77777777" w:rsidR="002D2BE4" w:rsidRPr="00093C31" w:rsidRDefault="002D2BE4" w:rsidP="002D2BE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Fig. 1 shows the UHC goals and intermediate objectives that are influenced by the health financing policy.</w:t>
      </w:r>
    </w:p>
    <w:p w14:paraId="3C67F7EE" w14:textId="77777777" w:rsidR="002D2BE4" w:rsidRPr="00093C31" w:rsidRDefault="002D2BE4" w:rsidP="002D2BE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7B9F3568" w14:textId="77777777" w:rsidR="002D2BE4" w:rsidRPr="00093C31" w:rsidRDefault="002D2BE4" w:rsidP="002D2BE4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>Fig. 1. UHC goals and intermediate objectives influenced by health financing policy</w:t>
      </w:r>
    </w:p>
    <w:p w14:paraId="25D0CFB8" w14:textId="77777777" w:rsidR="002D2BE4" w:rsidRPr="00093C31" w:rsidRDefault="002D2BE4" w:rsidP="002D2BE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56BD7FEA" w14:textId="77777777" w:rsidR="002D2BE4" w:rsidRPr="00093C31" w:rsidRDefault="002D2BE4" w:rsidP="002D2BE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noProof/>
        </w:rPr>
        <w:drawing>
          <wp:inline distT="0" distB="0" distL="0" distR="0" wp14:anchorId="775E611D" wp14:editId="7AC07DAF">
            <wp:extent cx="5452534" cy="3107834"/>
            <wp:effectExtent l="0" t="0" r="0" b="0"/>
            <wp:docPr id="688" name="Picture 688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 descr="Diagram, 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9100" cy="31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10515" w14:textId="77777777" w:rsidR="002D2BE4" w:rsidRPr="00093C31" w:rsidRDefault="002D2BE4" w:rsidP="002D2BE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84ED17" w14:textId="3C303233" w:rsidR="00B45B06" w:rsidRPr="007B1413" w:rsidRDefault="002D2BE4" w:rsidP="002D2BE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>Source: reference 30.</w:t>
      </w:r>
    </w:p>
    <w:sectPr w:rsidR="00B45B06" w:rsidRPr="007B1413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76ED" w14:textId="77777777" w:rsidR="00851703" w:rsidRDefault="00851703" w:rsidP="00EC272E">
      <w:r>
        <w:separator/>
      </w:r>
    </w:p>
  </w:endnote>
  <w:endnote w:type="continuationSeparator" w:id="0">
    <w:p w14:paraId="62CC1CD8" w14:textId="77777777" w:rsidR="00851703" w:rsidRDefault="00851703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27085791" w14:textId="77777777" w:rsidR="00600C8D" w:rsidRPr="00910245" w:rsidRDefault="00600C8D" w:rsidP="00600C8D">
          <w:pPr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1. Key aspects of health and universal health coverage </w:t>
          </w:r>
        </w:p>
        <w:p w14:paraId="061411D9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4AFD5FD6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55282CF" w14:textId="77777777" w:rsidR="00600C8D" w:rsidRPr="00910245" w:rsidRDefault="00600C8D" w:rsidP="00600C8D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91024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Universal health coverage</w:t>
          </w:r>
        </w:p>
        <w:p w14:paraId="797138E1" w14:textId="77777777" w:rsidR="00600C8D" w:rsidRPr="00910245" w:rsidRDefault="00600C8D" w:rsidP="00600C8D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2302" w14:textId="77777777" w:rsidR="00851703" w:rsidRDefault="00851703" w:rsidP="00EC272E">
      <w:r>
        <w:separator/>
      </w:r>
    </w:p>
  </w:footnote>
  <w:footnote w:type="continuationSeparator" w:id="0">
    <w:p w14:paraId="602D38A3" w14:textId="77777777" w:rsidR="00851703" w:rsidRDefault="00851703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D2BE4"/>
    <w:rsid w:val="003D124A"/>
    <w:rsid w:val="00431272"/>
    <w:rsid w:val="004334AD"/>
    <w:rsid w:val="005C14A4"/>
    <w:rsid w:val="00600C8D"/>
    <w:rsid w:val="007A4CB0"/>
    <w:rsid w:val="007B1413"/>
    <w:rsid w:val="007E23C4"/>
    <w:rsid w:val="00851703"/>
    <w:rsid w:val="008603E3"/>
    <w:rsid w:val="00953035"/>
    <w:rsid w:val="00A0194E"/>
    <w:rsid w:val="00A431D5"/>
    <w:rsid w:val="00B45B06"/>
    <w:rsid w:val="00D1217B"/>
    <w:rsid w:val="00DC29BE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3</cp:revision>
  <dcterms:created xsi:type="dcterms:W3CDTF">2021-05-17T19:24:00Z</dcterms:created>
  <dcterms:modified xsi:type="dcterms:W3CDTF">2021-05-17T19:24:00Z</dcterms:modified>
</cp:coreProperties>
</file>