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1151A" w14:textId="09F7F311" w:rsidR="007249A2" w:rsidRPr="00093C31" w:rsidRDefault="007249A2" w:rsidP="007249A2">
      <w:pPr>
        <w:pStyle w:val="Heading1"/>
        <w:jc w:val="left"/>
      </w:pPr>
      <w:bookmarkStart w:id="0" w:name="_Toc72157305"/>
      <w:r w:rsidRPr="00093C31">
        <w:t>B2. Which international agreements and declarations mandate the right to health and international mechanisms to hold government to account?</w:t>
      </w:r>
      <w:bookmarkEnd w:id="0"/>
    </w:p>
    <w:p w14:paraId="6118F21B" w14:textId="77777777" w:rsidR="007249A2" w:rsidRDefault="007249A2" w:rsidP="007249A2">
      <w:pPr>
        <w:spacing w:after="120"/>
        <w:jc w:val="both"/>
        <w:rPr>
          <w:rFonts w:ascii="Arial" w:hAnsi="Arial" w:cs="Arial"/>
          <w:sz w:val="22"/>
        </w:rPr>
      </w:pPr>
    </w:p>
    <w:p w14:paraId="4BC37052" w14:textId="08347FD6" w:rsidR="007249A2" w:rsidRPr="00093C31" w:rsidRDefault="007249A2" w:rsidP="007249A2">
      <w:pPr>
        <w:spacing w:after="120"/>
        <w:jc w:val="both"/>
        <w:rPr>
          <w:rFonts w:ascii="Arial" w:hAnsi="Arial" w:cs="Arial"/>
          <w:sz w:val="22"/>
        </w:rPr>
      </w:pPr>
      <w:r w:rsidRPr="00093C31">
        <w:rPr>
          <w:rFonts w:ascii="Arial" w:hAnsi="Arial" w:cs="Arial"/>
          <w:sz w:val="22"/>
        </w:rPr>
        <w:t xml:space="preserve">Beyond the WHO Constitution and </w:t>
      </w:r>
      <w:r w:rsidRPr="00093C31">
        <w:rPr>
          <w:rFonts w:ascii="Arial" w:hAnsi="Arial" w:cs="Arial"/>
          <w:sz w:val="22"/>
          <w:szCs w:val="22"/>
        </w:rPr>
        <w:t xml:space="preserve">the Universal Declaration of Human Rights </w:t>
      </w:r>
      <w:r w:rsidRPr="00093C31">
        <w:rPr>
          <w:rFonts w:ascii="Arial" w:hAnsi="Arial" w:cs="Arial"/>
          <w:sz w:val="22"/>
        </w:rPr>
        <w:t xml:space="preserve">referred to above, the first major </w:t>
      </w:r>
      <w:r w:rsidRPr="00093C31">
        <w:rPr>
          <w:rFonts w:ascii="Arial" w:hAnsi="Arial" w:cs="Arial"/>
          <w:sz w:val="22"/>
          <w:szCs w:val="22"/>
        </w:rPr>
        <w:t>covenant</w:t>
      </w:r>
      <w:r w:rsidRPr="00093C31">
        <w:rPr>
          <w:rFonts w:ascii="Arial" w:hAnsi="Arial" w:cs="Arial"/>
          <w:sz w:val="22"/>
        </w:rPr>
        <w:t xml:space="preserve"> agreed upon by countries </w:t>
      </w:r>
      <w:r w:rsidRPr="00093C31">
        <w:rPr>
          <w:rFonts w:ascii="Arial" w:hAnsi="Arial" w:cs="Arial"/>
          <w:sz w:val="22"/>
          <w:szCs w:val="22"/>
        </w:rPr>
        <w:t>is</w:t>
      </w:r>
      <w:r w:rsidRPr="00093C31">
        <w:rPr>
          <w:rFonts w:ascii="Arial" w:hAnsi="Arial" w:cs="Arial"/>
          <w:sz w:val="22"/>
        </w:rPr>
        <w:t xml:space="preserve"> the </w:t>
      </w:r>
      <w:r w:rsidRPr="00093C31">
        <w:rPr>
          <w:rFonts w:ascii="Arial" w:hAnsi="Arial" w:cs="Arial"/>
          <w:b/>
          <w:sz w:val="22"/>
        </w:rPr>
        <w:t>International Covenant on Economic, Social and Cultural Rights</w:t>
      </w:r>
      <w:r w:rsidRPr="00093C31">
        <w:rPr>
          <w:rFonts w:ascii="Arial" w:hAnsi="Arial" w:cs="Arial"/>
          <w:sz w:val="22"/>
        </w:rPr>
        <w:t xml:space="preserve"> </w:t>
      </w:r>
      <w:r w:rsidRPr="00093C31">
        <w:rPr>
          <w:rFonts w:ascii="Arial" w:hAnsi="Arial" w:cs="Arial"/>
          <w:i/>
          <w:sz w:val="22"/>
          <w:szCs w:val="22"/>
        </w:rPr>
        <w:t>(33)</w:t>
      </w:r>
      <w:r w:rsidRPr="00093C31">
        <w:rPr>
          <w:rFonts w:ascii="Arial" w:hAnsi="Arial" w:cs="Arial"/>
          <w:sz w:val="22"/>
          <w:szCs w:val="22"/>
        </w:rPr>
        <w:t>, which was ratified</w:t>
      </w:r>
      <w:r w:rsidRPr="00093C31">
        <w:rPr>
          <w:rFonts w:ascii="Arial" w:hAnsi="Arial" w:cs="Arial"/>
          <w:i/>
          <w:sz w:val="22"/>
          <w:szCs w:val="22"/>
        </w:rPr>
        <w:t xml:space="preserve"> </w:t>
      </w:r>
      <w:r w:rsidRPr="00093C31">
        <w:rPr>
          <w:rFonts w:ascii="Arial" w:hAnsi="Arial" w:cs="Arial"/>
          <w:sz w:val="22"/>
        </w:rPr>
        <w:t>in 1966</w:t>
      </w:r>
      <w:r w:rsidRPr="00093C31">
        <w:rPr>
          <w:rFonts w:ascii="Arial" w:hAnsi="Arial" w:cs="Arial"/>
          <w:sz w:val="22"/>
          <w:szCs w:val="22"/>
        </w:rPr>
        <w:t>, of</w:t>
      </w:r>
      <w:r w:rsidRPr="00093C31">
        <w:rPr>
          <w:rFonts w:ascii="Arial" w:hAnsi="Arial" w:cs="Arial"/>
          <w:sz w:val="22"/>
        </w:rPr>
        <w:t xml:space="preserve"> which Article 12 </w:t>
      </w:r>
      <w:r w:rsidRPr="00093C31">
        <w:rPr>
          <w:rFonts w:ascii="Arial" w:hAnsi="Arial" w:cs="Arial"/>
          <w:sz w:val="22"/>
          <w:szCs w:val="22"/>
        </w:rPr>
        <w:t>states</w:t>
      </w:r>
      <w:r w:rsidRPr="00093C31">
        <w:rPr>
          <w:rFonts w:ascii="Arial" w:hAnsi="Arial" w:cs="Arial"/>
          <w:sz w:val="22"/>
        </w:rPr>
        <w:t>:</w:t>
      </w:r>
    </w:p>
    <w:p w14:paraId="23B8C685" w14:textId="77777777" w:rsidR="007249A2" w:rsidRPr="00093C31" w:rsidRDefault="007249A2" w:rsidP="007249A2">
      <w:pPr>
        <w:spacing w:after="120"/>
        <w:ind w:left="567" w:right="616"/>
        <w:jc w:val="both"/>
        <w:rPr>
          <w:rFonts w:ascii="Arial" w:hAnsi="Arial" w:cs="Arial"/>
          <w:sz w:val="22"/>
        </w:rPr>
      </w:pPr>
      <w:r w:rsidRPr="00093C31">
        <w:rPr>
          <w:rFonts w:ascii="Arial" w:hAnsi="Arial" w:cs="Arial"/>
          <w:sz w:val="22"/>
        </w:rPr>
        <w:t xml:space="preserve">1. The States Parties to the present Covenant recognize the right of everyone to the enjoyment of the highest attainable standard of physical and mental health. </w:t>
      </w:r>
    </w:p>
    <w:p w14:paraId="02A48FCC" w14:textId="77777777" w:rsidR="007249A2" w:rsidRPr="00093C31" w:rsidRDefault="007249A2" w:rsidP="007249A2">
      <w:pPr>
        <w:spacing w:after="120"/>
        <w:ind w:left="567" w:right="616"/>
        <w:jc w:val="both"/>
        <w:rPr>
          <w:rFonts w:ascii="Arial" w:hAnsi="Arial" w:cs="Arial"/>
          <w:sz w:val="22"/>
        </w:rPr>
      </w:pPr>
      <w:r w:rsidRPr="00093C31">
        <w:rPr>
          <w:rFonts w:ascii="Arial" w:hAnsi="Arial" w:cs="Arial"/>
          <w:sz w:val="22"/>
        </w:rPr>
        <w:t>2. The steps to be taken by the States Parties to the present Covenant to achieve the full realization of this right shall include those necessary for:</w:t>
      </w:r>
    </w:p>
    <w:p w14:paraId="7E2D306A" w14:textId="77777777" w:rsidR="007249A2" w:rsidRPr="00093C31" w:rsidRDefault="007249A2" w:rsidP="007249A2">
      <w:pPr>
        <w:spacing w:after="120"/>
        <w:ind w:left="851" w:right="616"/>
        <w:jc w:val="both"/>
        <w:rPr>
          <w:rFonts w:ascii="Arial" w:hAnsi="Arial" w:cs="Arial"/>
          <w:sz w:val="22"/>
        </w:rPr>
      </w:pPr>
      <w:r w:rsidRPr="00093C31">
        <w:rPr>
          <w:rFonts w:ascii="Arial" w:hAnsi="Arial" w:cs="Arial"/>
          <w:sz w:val="22"/>
        </w:rPr>
        <w:t xml:space="preserve">(a) The provision for the reduction of the stillbirth rate and of infant mortality and for the healthy development of the </w:t>
      </w:r>
      <w:proofErr w:type="gramStart"/>
      <w:r w:rsidRPr="00093C31">
        <w:rPr>
          <w:rFonts w:ascii="Arial" w:hAnsi="Arial" w:cs="Arial"/>
          <w:sz w:val="22"/>
        </w:rPr>
        <w:t>child;</w:t>
      </w:r>
      <w:proofErr w:type="gramEnd"/>
    </w:p>
    <w:p w14:paraId="26A75244" w14:textId="77777777" w:rsidR="007249A2" w:rsidRPr="00093C31" w:rsidRDefault="007249A2" w:rsidP="007249A2">
      <w:pPr>
        <w:spacing w:after="120"/>
        <w:ind w:left="851" w:right="616"/>
        <w:jc w:val="both"/>
        <w:rPr>
          <w:rFonts w:ascii="Arial" w:hAnsi="Arial" w:cs="Arial"/>
          <w:sz w:val="22"/>
        </w:rPr>
      </w:pPr>
      <w:r w:rsidRPr="00093C31">
        <w:rPr>
          <w:rFonts w:ascii="Arial" w:hAnsi="Arial" w:cs="Arial"/>
          <w:sz w:val="22"/>
        </w:rPr>
        <w:t xml:space="preserve">(b) The improvement of all aspects of environmental and industrial </w:t>
      </w:r>
      <w:proofErr w:type="gramStart"/>
      <w:r w:rsidRPr="00093C31">
        <w:rPr>
          <w:rFonts w:ascii="Arial" w:hAnsi="Arial" w:cs="Arial"/>
          <w:sz w:val="22"/>
        </w:rPr>
        <w:t>hygiene;</w:t>
      </w:r>
      <w:proofErr w:type="gramEnd"/>
    </w:p>
    <w:p w14:paraId="7C0BB991" w14:textId="77777777" w:rsidR="007249A2" w:rsidRPr="00093C31" w:rsidRDefault="007249A2" w:rsidP="007249A2">
      <w:pPr>
        <w:spacing w:after="120"/>
        <w:ind w:left="851" w:right="616"/>
        <w:jc w:val="both"/>
        <w:rPr>
          <w:rFonts w:ascii="Arial" w:hAnsi="Arial" w:cs="Arial"/>
          <w:sz w:val="22"/>
        </w:rPr>
      </w:pPr>
      <w:r w:rsidRPr="00093C31">
        <w:rPr>
          <w:rFonts w:ascii="Arial" w:hAnsi="Arial" w:cs="Arial"/>
          <w:sz w:val="22"/>
        </w:rPr>
        <w:t xml:space="preserve">(c) The prevention, treatment and control of epidemic, endemic, occupational and other </w:t>
      </w:r>
      <w:proofErr w:type="gramStart"/>
      <w:r w:rsidRPr="00093C31">
        <w:rPr>
          <w:rFonts w:ascii="Arial" w:hAnsi="Arial" w:cs="Arial"/>
          <w:sz w:val="22"/>
        </w:rPr>
        <w:t>diseases;</w:t>
      </w:r>
      <w:proofErr w:type="gramEnd"/>
    </w:p>
    <w:p w14:paraId="68DAD8B9" w14:textId="77777777" w:rsidR="007249A2" w:rsidRPr="00093C31" w:rsidRDefault="007249A2" w:rsidP="007249A2">
      <w:pPr>
        <w:spacing w:after="120"/>
        <w:ind w:left="851" w:right="616"/>
        <w:jc w:val="both"/>
        <w:rPr>
          <w:rFonts w:ascii="Arial" w:hAnsi="Arial" w:cs="Arial"/>
          <w:sz w:val="22"/>
        </w:rPr>
      </w:pPr>
      <w:r w:rsidRPr="00093C31">
        <w:rPr>
          <w:rFonts w:ascii="Arial" w:hAnsi="Arial" w:cs="Arial"/>
          <w:sz w:val="22"/>
        </w:rPr>
        <w:t>(d) The creation of conditions which would assure to all medical service and medical attention in the event of sickness.</w:t>
      </w:r>
    </w:p>
    <w:p w14:paraId="2EB92486" w14:textId="77777777" w:rsidR="007249A2" w:rsidRPr="00093C31" w:rsidRDefault="007249A2" w:rsidP="007249A2">
      <w:pPr>
        <w:spacing w:after="120"/>
        <w:jc w:val="both"/>
        <w:rPr>
          <w:rFonts w:ascii="Arial" w:hAnsi="Arial" w:cs="Arial"/>
          <w:sz w:val="22"/>
        </w:rPr>
      </w:pPr>
      <w:r w:rsidRPr="00093C31">
        <w:rPr>
          <w:rFonts w:ascii="Arial" w:hAnsi="Arial" w:cs="Arial"/>
          <w:b/>
          <w:bCs/>
          <w:sz w:val="22"/>
          <w:szCs w:val="22"/>
        </w:rPr>
        <w:t>Other</w:t>
      </w:r>
      <w:r w:rsidRPr="00093C31">
        <w:rPr>
          <w:rFonts w:ascii="Arial" w:hAnsi="Arial" w:cs="Arial"/>
          <w:b/>
          <w:sz w:val="22"/>
        </w:rPr>
        <w:t xml:space="preserve"> international treaties</w:t>
      </w:r>
      <w:r w:rsidRPr="00093C31">
        <w:rPr>
          <w:rFonts w:ascii="Arial" w:hAnsi="Arial" w:cs="Arial"/>
          <w:sz w:val="22"/>
        </w:rPr>
        <w:t xml:space="preserve"> that mandate some aspect of </w:t>
      </w:r>
      <w:r w:rsidRPr="00093C31">
        <w:rPr>
          <w:rFonts w:ascii="Arial" w:hAnsi="Arial" w:cs="Arial"/>
          <w:sz w:val="22"/>
          <w:szCs w:val="22"/>
        </w:rPr>
        <w:t>the</w:t>
      </w:r>
      <w:r w:rsidRPr="00093C31">
        <w:rPr>
          <w:rFonts w:ascii="Arial" w:hAnsi="Arial" w:cs="Arial"/>
          <w:sz w:val="22"/>
        </w:rPr>
        <w:t xml:space="preserve"> </w:t>
      </w:r>
      <w:r w:rsidRPr="00093C31">
        <w:rPr>
          <w:rFonts w:ascii="Arial" w:hAnsi="Arial" w:cs="Arial"/>
          <w:sz w:val="22"/>
          <w:szCs w:val="22"/>
        </w:rPr>
        <w:t xml:space="preserve">right to health are </w:t>
      </w:r>
      <w:r w:rsidRPr="00093C31">
        <w:rPr>
          <w:rFonts w:ascii="Arial" w:hAnsi="Arial" w:cs="Arial"/>
          <w:i/>
          <w:sz w:val="22"/>
          <w:szCs w:val="22"/>
        </w:rPr>
        <w:t>(31)</w:t>
      </w:r>
      <w:r w:rsidRPr="00093C31">
        <w:rPr>
          <w:rFonts w:ascii="Arial" w:hAnsi="Arial" w:cs="Arial"/>
          <w:sz w:val="22"/>
          <w:szCs w:val="22"/>
        </w:rPr>
        <w:t>:</w:t>
      </w:r>
    </w:p>
    <w:p w14:paraId="0FBAF110" w14:textId="77777777" w:rsidR="007249A2" w:rsidRPr="00093C31" w:rsidRDefault="007249A2" w:rsidP="007249A2">
      <w:pPr>
        <w:pStyle w:val="ListParagraph"/>
        <w:numPr>
          <w:ilvl w:val="0"/>
          <w:numId w:val="11"/>
        </w:numPr>
        <w:spacing w:after="120"/>
        <w:ind w:left="426" w:hanging="284"/>
        <w:jc w:val="both"/>
        <w:rPr>
          <w:rFonts w:ascii="Arial" w:hAnsi="Arial" w:cs="Arial"/>
          <w:sz w:val="22"/>
        </w:rPr>
      </w:pPr>
      <w:r w:rsidRPr="00093C31">
        <w:rPr>
          <w:rFonts w:ascii="Arial" w:hAnsi="Arial" w:cs="Arial"/>
          <w:sz w:val="22"/>
          <w:szCs w:val="22"/>
        </w:rPr>
        <w:t>the</w:t>
      </w:r>
      <w:r w:rsidRPr="00093C31">
        <w:rPr>
          <w:rFonts w:ascii="Arial" w:hAnsi="Arial" w:cs="Arial"/>
          <w:sz w:val="22"/>
        </w:rPr>
        <w:t xml:space="preserve"> 1965 International Convention on the Elimination of All Forms of Racial Discrimination: </w:t>
      </w:r>
      <w:r w:rsidRPr="00093C31">
        <w:rPr>
          <w:rFonts w:ascii="Arial" w:hAnsi="Arial" w:cs="Arial"/>
          <w:sz w:val="22"/>
          <w:szCs w:val="22"/>
        </w:rPr>
        <w:t>article</w:t>
      </w:r>
      <w:r w:rsidRPr="00093C31">
        <w:rPr>
          <w:rFonts w:ascii="Arial" w:hAnsi="Arial" w:cs="Arial"/>
          <w:sz w:val="22"/>
        </w:rPr>
        <w:t xml:space="preserve"> 5 (e) (iv</w:t>
      </w:r>
      <w:proofErr w:type="gramStart"/>
      <w:r w:rsidRPr="00093C31">
        <w:rPr>
          <w:rFonts w:ascii="Arial" w:hAnsi="Arial" w:cs="Arial"/>
          <w:sz w:val="22"/>
          <w:szCs w:val="22"/>
        </w:rPr>
        <w:t>);</w:t>
      </w:r>
      <w:proofErr w:type="gramEnd"/>
    </w:p>
    <w:p w14:paraId="11BEB820" w14:textId="77777777" w:rsidR="007249A2" w:rsidRPr="00093C31" w:rsidRDefault="007249A2" w:rsidP="007249A2">
      <w:pPr>
        <w:pStyle w:val="ListParagraph"/>
        <w:numPr>
          <w:ilvl w:val="0"/>
          <w:numId w:val="11"/>
        </w:numPr>
        <w:spacing w:after="120"/>
        <w:ind w:left="426" w:hanging="284"/>
        <w:jc w:val="both"/>
        <w:rPr>
          <w:rFonts w:ascii="Arial" w:hAnsi="Arial" w:cs="Arial"/>
          <w:sz w:val="22"/>
        </w:rPr>
      </w:pPr>
      <w:r w:rsidRPr="00093C31">
        <w:rPr>
          <w:rFonts w:ascii="Arial" w:hAnsi="Arial" w:cs="Arial"/>
          <w:sz w:val="22"/>
          <w:szCs w:val="22"/>
        </w:rPr>
        <w:t>the</w:t>
      </w:r>
      <w:r w:rsidRPr="00093C31">
        <w:rPr>
          <w:rFonts w:ascii="Arial" w:hAnsi="Arial" w:cs="Arial"/>
          <w:sz w:val="22"/>
        </w:rPr>
        <w:t xml:space="preserve"> 1979 Convention on the Elimination of All Forms of Discrimination against Women: </w:t>
      </w:r>
      <w:r w:rsidRPr="00093C31">
        <w:rPr>
          <w:rFonts w:ascii="Arial" w:hAnsi="Arial" w:cs="Arial"/>
          <w:sz w:val="22"/>
          <w:szCs w:val="22"/>
        </w:rPr>
        <w:t>articles</w:t>
      </w:r>
      <w:r w:rsidRPr="00093C31">
        <w:rPr>
          <w:rFonts w:ascii="Arial" w:hAnsi="Arial" w:cs="Arial"/>
          <w:sz w:val="22"/>
        </w:rPr>
        <w:t xml:space="preserve"> 11 (1) (f), 12 and 14 (2) (b</w:t>
      </w:r>
      <w:proofErr w:type="gramStart"/>
      <w:r w:rsidRPr="00093C31">
        <w:rPr>
          <w:rFonts w:ascii="Arial" w:hAnsi="Arial" w:cs="Arial"/>
          <w:sz w:val="22"/>
          <w:szCs w:val="22"/>
        </w:rPr>
        <w:t>);</w:t>
      </w:r>
      <w:proofErr w:type="gramEnd"/>
    </w:p>
    <w:p w14:paraId="5CAA57C6" w14:textId="77777777" w:rsidR="007249A2" w:rsidRPr="00093C31" w:rsidRDefault="007249A2" w:rsidP="007249A2">
      <w:pPr>
        <w:pStyle w:val="ListParagraph"/>
        <w:numPr>
          <w:ilvl w:val="0"/>
          <w:numId w:val="11"/>
        </w:numPr>
        <w:spacing w:after="120"/>
        <w:ind w:left="426" w:hanging="284"/>
        <w:jc w:val="both"/>
        <w:rPr>
          <w:rFonts w:ascii="Arial" w:hAnsi="Arial" w:cs="Arial"/>
          <w:sz w:val="22"/>
        </w:rPr>
      </w:pPr>
      <w:r w:rsidRPr="00093C31">
        <w:rPr>
          <w:rFonts w:ascii="Arial" w:hAnsi="Arial" w:cs="Arial"/>
          <w:sz w:val="22"/>
          <w:szCs w:val="22"/>
        </w:rPr>
        <w:t>the</w:t>
      </w:r>
      <w:r w:rsidRPr="00093C31">
        <w:rPr>
          <w:rFonts w:ascii="Arial" w:hAnsi="Arial" w:cs="Arial"/>
          <w:sz w:val="22"/>
        </w:rPr>
        <w:t xml:space="preserve"> 1989 Convention on the Rights of the Child: </w:t>
      </w:r>
      <w:r w:rsidRPr="00093C31">
        <w:rPr>
          <w:rFonts w:ascii="Arial" w:hAnsi="Arial" w:cs="Arial"/>
          <w:sz w:val="22"/>
          <w:szCs w:val="22"/>
        </w:rPr>
        <w:t>article</w:t>
      </w:r>
      <w:r w:rsidRPr="00093C31">
        <w:rPr>
          <w:rFonts w:ascii="Arial" w:hAnsi="Arial" w:cs="Arial"/>
          <w:sz w:val="22"/>
        </w:rPr>
        <w:t xml:space="preserve"> </w:t>
      </w:r>
      <w:proofErr w:type="gramStart"/>
      <w:r w:rsidRPr="00093C31">
        <w:rPr>
          <w:rFonts w:ascii="Arial" w:hAnsi="Arial" w:cs="Arial"/>
          <w:sz w:val="22"/>
        </w:rPr>
        <w:t>24</w:t>
      </w:r>
      <w:r w:rsidRPr="00093C31">
        <w:rPr>
          <w:rFonts w:ascii="Arial" w:hAnsi="Arial" w:cs="Arial"/>
          <w:sz w:val="22"/>
          <w:szCs w:val="22"/>
        </w:rPr>
        <w:t>;</w:t>
      </w:r>
      <w:proofErr w:type="gramEnd"/>
    </w:p>
    <w:p w14:paraId="0DF630F5" w14:textId="77777777" w:rsidR="007249A2" w:rsidRPr="00093C31" w:rsidRDefault="007249A2" w:rsidP="007249A2">
      <w:pPr>
        <w:pStyle w:val="ListParagraph"/>
        <w:numPr>
          <w:ilvl w:val="0"/>
          <w:numId w:val="11"/>
        </w:numPr>
        <w:spacing w:after="120"/>
        <w:ind w:left="426" w:hanging="284"/>
        <w:jc w:val="both"/>
        <w:rPr>
          <w:rFonts w:ascii="Arial" w:hAnsi="Arial" w:cs="Arial"/>
          <w:sz w:val="22"/>
        </w:rPr>
      </w:pPr>
      <w:r w:rsidRPr="00093C31">
        <w:rPr>
          <w:rFonts w:ascii="Arial" w:hAnsi="Arial" w:cs="Arial"/>
          <w:sz w:val="22"/>
          <w:szCs w:val="22"/>
        </w:rPr>
        <w:t>the</w:t>
      </w:r>
      <w:r w:rsidRPr="00093C31">
        <w:rPr>
          <w:rFonts w:ascii="Arial" w:hAnsi="Arial" w:cs="Arial"/>
          <w:sz w:val="22"/>
        </w:rPr>
        <w:t xml:space="preserve"> 1990 International Convention on the Protection of the Rights of All Migrant Workers and Members of Their Families: </w:t>
      </w:r>
      <w:r w:rsidRPr="00093C31">
        <w:rPr>
          <w:rFonts w:ascii="Arial" w:hAnsi="Arial" w:cs="Arial"/>
          <w:sz w:val="22"/>
          <w:szCs w:val="22"/>
        </w:rPr>
        <w:t>articles</w:t>
      </w:r>
      <w:r w:rsidRPr="00093C31">
        <w:rPr>
          <w:rFonts w:ascii="Arial" w:hAnsi="Arial" w:cs="Arial"/>
          <w:sz w:val="22"/>
        </w:rPr>
        <w:t xml:space="preserve"> 28, 43 (e) and 45 (c</w:t>
      </w:r>
      <w:r w:rsidRPr="00093C31">
        <w:rPr>
          <w:rFonts w:ascii="Arial" w:hAnsi="Arial" w:cs="Arial"/>
          <w:sz w:val="22"/>
          <w:szCs w:val="22"/>
        </w:rPr>
        <w:t>); and</w:t>
      </w:r>
    </w:p>
    <w:p w14:paraId="38C0DB4E" w14:textId="77777777" w:rsidR="007249A2" w:rsidRPr="00093C31" w:rsidRDefault="007249A2" w:rsidP="007249A2">
      <w:pPr>
        <w:pStyle w:val="ListParagraph"/>
        <w:numPr>
          <w:ilvl w:val="0"/>
          <w:numId w:val="11"/>
        </w:numPr>
        <w:spacing w:after="120"/>
        <w:ind w:left="426" w:hanging="284"/>
        <w:jc w:val="both"/>
        <w:rPr>
          <w:rFonts w:ascii="Arial" w:hAnsi="Arial" w:cs="Arial"/>
          <w:sz w:val="22"/>
        </w:rPr>
      </w:pPr>
      <w:r w:rsidRPr="00093C31">
        <w:rPr>
          <w:rFonts w:ascii="Arial" w:hAnsi="Arial" w:cs="Arial"/>
          <w:sz w:val="22"/>
          <w:szCs w:val="22"/>
        </w:rPr>
        <w:t>the</w:t>
      </w:r>
      <w:r w:rsidRPr="00093C31">
        <w:rPr>
          <w:rFonts w:ascii="Arial" w:hAnsi="Arial" w:cs="Arial"/>
          <w:sz w:val="22"/>
        </w:rPr>
        <w:t xml:space="preserve"> 2006 Convention on the Rights of Persons with Disabilities: </w:t>
      </w:r>
      <w:r w:rsidRPr="00093C31">
        <w:rPr>
          <w:rFonts w:ascii="Arial" w:hAnsi="Arial" w:cs="Arial"/>
          <w:sz w:val="22"/>
          <w:szCs w:val="22"/>
        </w:rPr>
        <w:t>article</w:t>
      </w:r>
      <w:r w:rsidRPr="00093C31">
        <w:rPr>
          <w:rFonts w:ascii="Arial" w:hAnsi="Arial" w:cs="Arial"/>
          <w:sz w:val="22"/>
        </w:rPr>
        <w:t xml:space="preserve"> 25.</w:t>
      </w:r>
    </w:p>
    <w:p w14:paraId="59AA10EE" w14:textId="77777777" w:rsidR="007249A2" w:rsidRPr="00093C31" w:rsidRDefault="007249A2" w:rsidP="007249A2">
      <w:pPr>
        <w:spacing w:after="120"/>
        <w:jc w:val="both"/>
        <w:rPr>
          <w:rFonts w:ascii="Arial" w:hAnsi="Arial" w:cs="Arial"/>
          <w:sz w:val="22"/>
        </w:rPr>
      </w:pPr>
      <w:r w:rsidRPr="00093C31">
        <w:rPr>
          <w:rFonts w:ascii="Arial" w:hAnsi="Arial" w:cs="Arial"/>
          <w:sz w:val="22"/>
          <w:szCs w:val="22"/>
        </w:rPr>
        <w:t>An</w:t>
      </w:r>
      <w:r w:rsidRPr="00093C31">
        <w:rPr>
          <w:rFonts w:ascii="Arial" w:hAnsi="Arial" w:cs="Arial"/>
          <w:sz w:val="22"/>
        </w:rPr>
        <w:t xml:space="preserve"> important </w:t>
      </w:r>
      <w:r w:rsidRPr="00093C31">
        <w:rPr>
          <w:rFonts w:ascii="Arial" w:hAnsi="Arial" w:cs="Arial"/>
          <w:sz w:val="22"/>
          <w:szCs w:val="22"/>
        </w:rPr>
        <w:t>declaration</w:t>
      </w:r>
      <w:r w:rsidRPr="00093C31">
        <w:rPr>
          <w:rFonts w:ascii="Arial" w:hAnsi="Arial" w:cs="Arial"/>
          <w:sz w:val="22"/>
        </w:rPr>
        <w:t xml:space="preserve"> at the International Conference on Primary Health Care in Alma Ata </w:t>
      </w:r>
      <w:r w:rsidRPr="00093C31">
        <w:rPr>
          <w:rFonts w:ascii="Arial" w:hAnsi="Arial" w:cs="Arial"/>
          <w:sz w:val="22"/>
          <w:szCs w:val="22"/>
        </w:rPr>
        <w:t xml:space="preserve">in 1978 </w:t>
      </w:r>
      <w:r w:rsidRPr="00093C31">
        <w:rPr>
          <w:rFonts w:ascii="Arial" w:hAnsi="Arial" w:cs="Arial"/>
          <w:sz w:val="22"/>
        </w:rPr>
        <w:t xml:space="preserve">provided a huge impetus to </w:t>
      </w:r>
      <w:r w:rsidRPr="00093C31">
        <w:rPr>
          <w:rFonts w:ascii="Arial" w:hAnsi="Arial" w:cs="Arial"/>
          <w:sz w:val="22"/>
          <w:szCs w:val="22"/>
        </w:rPr>
        <w:t>rapid advancement</w:t>
      </w:r>
      <w:r w:rsidRPr="00093C31">
        <w:rPr>
          <w:rFonts w:ascii="Arial" w:hAnsi="Arial" w:cs="Arial"/>
          <w:sz w:val="22"/>
        </w:rPr>
        <w:t xml:space="preserve"> towards </w:t>
      </w:r>
      <w:r w:rsidRPr="00093C31">
        <w:rPr>
          <w:rFonts w:ascii="Arial" w:hAnsi="Arial" w:cs="Arial"/>
          <w:sz w:val="22"/>
          <w:szCs w:val="22"/>
        </w:rPr>
        <w:t>the</w:t>
      </w:r>
      <w:r w:rsidRPr="00093C31">
        <w:rPr>
          <w:rFonts w:ascii="Arial" w:hAnsi="Arial" w:cs="Arial"/>
          <w:sz w:val="22"/>
        </w:rPr>
        <w:t xml:space="preserve"> </w:t>
      </w:r>
      <w:r w:rsidRPr="00093C31">
        <w:rPr>
          <w:rFonts w:ascii="Arial" w:hAnsi="Arial" w:cs="Arial"/>
          <w:sz w:val="22"/>
          <w:szCs w:val="22"/>
        </w:rPr>
        <w:t xml:space="preserve">right to health </w:t>
      </w:r>
      <w:r w:rsidRPr="00093C31">
        <w:rPr>
          <w:rFonts w:ascii="Arial" w:hAnsi="Arial" w:cs="Arial"/>
          <w:sz w:val="22"/>
        </w:rPr>
        <w:t>and UHC</w:t>
      </w:r>
      <w:r w:rsidRPr="00093C31">
        <w:rPr>
          <w:rFonts w:ascii="Arial" w:hAnsi="Arial" w:cs="Arial"/>
          <w:sz w:val="22"/>
          <w:szCs w:val="22"/>
        </w:rPr>
        <w:t xml:space="preserve">. </w:t>
      </w:r>
      <w:r w:rsidRPr="00093C31">
        <w:rPr>
          <w:rFonts w:ascii="Arial" w:hAnsi="Arial" w:cs="Arial"/>
          <w:b/>
          <w:bCs/>
          <w:sz w:val="22"/>
          <w:szCs w:val="22"/>
        </w:rPr>
        <w:lastRenderedPageBreak/>
        <w:t>The declaration</w:t>
      </w:r>
      <w:r w:rsidRPr="00093C31">
        <w:rPr>
          <w:rFonts w:ascii="Arial" w:hAnsi="Arial" w:cs="Arial"/>
          <w:b/>
          <w:sz w:val="22"/>
        </w:rPr>
        <w:t xml:space="preserve"> of Alma-Ata</w:t>
      </w:r>
      <w:r w:rsidRPr="00093C31">
        <w:rPr>
          <w:rFonts w:ascii="Arial" w:hAnsi="Arial" w:cs="Arial"/>
          <w:sz w:val="22"/>
        </w:rPr>
        <w:t xml:space="preserve"> affirms the crucial role of primary health care, which addresses the main health problems in the community, providing promotive, preventive, curative and rehabilitative services accordingly (</w:t>
      </w:r>
      <w:r w:rsidRPr="00093C31">
        <w:rPr>
          <w:rFonts w:ascii="Arial" w:hAnsi="Arial" w:cs="Arial"/>
          <w:sz w:val="22"/>
          <w:szCs w:val="22"/>
        </w:rPr>
        <w:t>article</w:t>
      </w:r>
      <w:r w:rsidRPr="00093C31">
        <w:rPr>
          <w:rFonts w:ascii="Arial" w:hAnsi="Arial" w:cs="Arial"/>
          <w:sz w:val="22"/>
        </w:rPr>
        <w:t xml:space="preserve"> VII). It stresses that access to primary health care is the key to attaining a level of health that will permit all individuals to lead a socially and economically productive life (</w:t>
      </w:r>
      <w:r w:rsidRPr="00093C31">
        <w:rPr>
          <w:rFonts w:ascii="Arial" w:hAnsi="Arial" w:cs="Arial"/>
          <w:sz w:val="22"/>
          <w:szCs w:val="22"/>
        </w:rPr>
        <w:t>article</w:t>
      </w:r>
      <w:r w:rsidRPr="00093C31">
        <w:rPr>
          <w:rFonts w:ascii="Arial" w:hAnsi="Arial" w:cs="Arial"/>
          <w:sz w:val="22"/>
        </w:rPr>
        <w:t xml:space="preserve"> V) and to </w:t>
      </w:r>
      <w:r w:rsidRPr="00093C31">
        <w:rPr>
          <w:rFonts w:ascii="Arial" w:hAnsi="Arial" w:cs="Arial"/>
          <w:sz w:val="22"/>
          <w:szCs w:val="22"/>
        </w:rPr>
        <w:t>contribute</w:t>
      </w:r>
      <w:r w:rsidRPr="00093C31">
        <w:rPr>
          <w:rFonts w:ascii="Arial" w:hAnsi="Arial" w:cs="Arial"/>
          <w:sz w:val="22"/>
        </w:rPr>
        <w:t xml:space="preserve"> to the realization of the highest attainable standard of health.</w:t>
      </w:r>
    </w:p>
    <w:p w14:paraId="6C58733E" w14:textId="77777777" w:rsidR="007249A2" w:rsidRPr="00093C31" w:rsidRDefault="007249A2" w:rsidP="007249A2">
      <w:pPr>
        <w:spacing w:after="120"/>
        <w:jc w:val="both"/>
        <w:rPr>
          <w:rFonts w:ascii="Arial" w:hAnsi="Arial" w:cs="Arial"/>
          <w:sz w:val="22"/>
        </w:rPr>
      </w:pPr>
      <w:r w:rsidRPr="00093C31">
        <w:rPr>
          <w:rFonts w:ascii="Arial" w:hAnsi="Arial" w:cs="Arial"/>
          <w:sz w:val="22"/>
          <w:szCs w:val="22"/>
        </w:rPr>
        <w:t>This was</w:t>
      </w:r>
      <w:r w:rsidRPr="00093C31">
        <w:rPr>
          <w:rFonts w:ascii="Arial" w:hAnsi="Arial" w:cs="Arial"/>
          <w:sz w:val="22"/>
        </w:rPr>
        <w:t xml:space="preserve"> reiterated 40 years later as the </w:t>
      </w:r>
      <w:r w:rsidRPr="00093C31">
        <w:rPr>
          <w:rFonts w:ascii="Arial" w:hAnsi="Arial" w:cs="Arial"/>
          <w:b/>
          <w:sz w:val="22"/>
        </w:rPr>
        <w:t>Astana Declaration 2018</w:t>
      </w:r>
      <w:r w:rsidRPr="00093C31">
        <w:rPr>
          <w:rFonts w:ascii="Arial" w:hAnsi="Arial" w:cs="Arial"/>
          <w:b/>
          <w:bCs/>
          <w:sz w:val="22"/>
          <w:szCs w:val="22"/>
        </w:rPr>
        <w:t xml:space="preserve"> </w:t>
      </w:r>
      <w:r w:rsidRPr="00093C31">
        <w:rPr>
          <w:rFonts w:ascii="Arial" w:hAnsi="Arial" w:cs="Arial"/>
          <w:bCs/>
          <w:i/>
          <w:sz w:val="22"/>
          <w:szCs w:val="22"/>
        </w:rPr>
        <w:t>(25)</w:t>
      </w:r>
      <w:r w:rsidRPr="00093C31">
        <w:rPr>
          <w:rFonts w:ascii="Arial" w:hAnsi="Arial" w:cs="Arial"/>
          <w:sz w:val="22"/>
          <w:szCs w:val="22"/>
        </w:rPr>
        <w:t xml:space="preserve">. </w:t>
      </w:r>
      <w:r w:rsidRPr="00093C31">
        <w:rPr>
          <w:rFonts w:ascii="Arial" w:hAnsi="Arial" w:cs="Arial"/>
          <w:sz w:val="22"/>
        </w:rPr>
        <w:t>The Global Conference on Primary Health Care in Astana, Kazakhstan</w:t>
      </w:r>
      <w:r w:rsidRPr="00093C31">
        <w:rPr>
          <w:rFonts w:ascii="Arial" w:hAnsi="Arial" w:cs="Arial"/>
          <w:sz w:val="22"/>
          <w:szCs w:val="22"/>
        </w:rPr>
        <w:t>,</w:t>
      </w:r>
      <w:r w:rsidRPr="00093C31">
        <w:rPr>
          <w:rFonts w:ascii="Arial" w:hAnsi="Arial" w:cs="Arial"/>
          <w:sz w:val="22"/>
        </w:rPr>
        <w:t xml:space="preserve"> in October 2018 endorsed a new declaration emphasizing the critical role of primary health care around the world. The </w:t>
      </w:r>
      <w:r w:rsidRPr="00093C31">
        <w:rPr>
          <w:rFonts w:ascii="Arial" w:hAnsi="Arial" w:cs="Arial"/>
          <w:sz w:val="22"/>
          <w:szCs w:val="22"/>
        </w:rPr>
        <w:t xml:space="preserve">aim is </w:t>
      </w:r>
      <w:r w:rsidRPr="00093C31">
        <w:rPr>
          <w:rFonts w:ascii="Arial" w:hAnsi="Arial" w:cs="Arial"/>
          <w:sz w:val="22"/>
        </w:rPr>
        <w:t xml:space="preserve">to refocus on primary health care to ensure that everyone everywhere </w:t>
      </w:r>
      <w:r w:rsidRPr="00093C31">
        <w:rPr>
          <w:rFonts w:ascii="Arial" w:hAnsi="Arial" w:cs="Arial"/>
          <w:sz w:val="22"/>
          <w:szCs w:val="22"/>
        </w:rPr>
        <w:t>enjoys</w:t>
      </w:r>
      <w:r w:rsidRPr="00093C31">
        <w:rPr>
          <w:rFonts w:ascii="Arial" w:hAnsi="Arial" w:cs="Arial"/>
          <w:sz w:val="22"/>
        </w:rPr>
        <w:t xml:space="preserve"> the highest possible attainable standard of health. This Declaration further emphasizes that </w:t>
      </w:r>
      <w:r w:rsidRPr="00093C31">
        <w:rPr>
          <w:rFonts w:ascii="Arial" w:hAnsi="Arial" w:cs="Arial"/>
          <w:sz w:val="22"/>
          <w:szCs w:val="22"/>
        </w:rPr>
        <w:t xml:space="preserve">primary health care </w:t>
      </w:r>
      <w:r w:rsidRPr="00093C31">
        <w:rPr>
          <w:rFonts w:ascii="Arial" w:hAnsi="Arial" w:cs="Arial"/>
          <w:sz w:val="22"/>
        </w:rPr>
        <w:t xml:space="preserve">is </w:t>
      </w:r>
      <w:r w:rsidRPr="00093C31">
        <w:rPr>
          <w:rFonts w:ascii="Arial" w:hAnsi="Arial" w:cs="Arial"/>
          <w:sz w:val="22"/>
          <w:szCs w:val="22"/>
        </w:rPr>
        <w:t>the</w:t>
      </w:r>
      <w:r w:rsidRPr="00093C31">
        <w:rPr>
          <w:rFonts w:ascii="Arial" w:hAnsi="Arial" w:cs="Arial"/>
          <w:sz w:val="22"/>
        </w:rPr>
        <w:t xml:space="preserve"> cornerstone of a sustainable health system for UHC and health-related </w:t>
      </w:r>
      <w:r w:rsidRPr="00093C31">
        <w:rPr>
          <w:rFonts w:ascii="Arial" w:hAnsi="Arial" w:cs="Arial"/>
          <w:sz w:val="22"/>
          <w:szCs w:val="22"/>
        </w:rPr>
        <w:t>SDGs</w:t>
      </w:r>
      <w:r w:rsidRPr="00093C31">
        <w:rPr>
          <w:rFonts w:ascii="Arial" w:hAnsi="Arial" w:cs="Arial"/>
          <w:sz w:val="22"/>
        </w:rPr>
        <w:t xml:space="preserve"> to achieving UHC</w:t>
      </w:r>
      <w:r w:rsidRPr="00093C31">
        <w:rPr>
          <w:rFonts w:ascii="Arial" w:hAnsi="Arial" w:cs="Arial"/>
          <w:sz w:val="22"/>
          <w:szCs w:val="22"/>
        </w:rPr>
        <w:t>,</w:t>
      </w:r>
      <w:r w:rsidRPr="00093C31">
        <w:rPr>
          <w:rFonts w:ascii="Arial" w:hAnsi="Arial" w:cs="Arial"/>
          <w:sz w:val="22"/>
        </w:rPr>
        <w:t xml:space="preserve"> so that all people have equitable access to the quality and </w:t>
      </w:r>
      <w:r w:rsidRPr="00093C31">
        <w:rPr>
          <w:rFonts w:ascii="Arial" w:hAnsi="Arial" w:cs="Arial"/>
          <w:sz w:val="22"/>
          <w:szCs w:val="22"/>
        </w:rPr>
        <w:t>effectiveness of the</w:t>
      </w:r>
      <w:r w:rsidRPr="00093C31">
        <w:rPr>
          <w:rFonts w:ascii="Arial" w:hAnsi="Arial" w:cs="Arial"/>
          <w:sz w:val="22"/>
        </w:rPr>
        <w:t xml:space="preserve"> health care they need, ensuring that use of these services does not expose them to financial hardship. </w:t>
      </w:r>
    </w:p>
    <w:p w14:paraId="4684ED17" w14:textId="6B7F3682" w:rsidR="00B45B06" w:rsidRPr="007B1413" w:rsidRDefault="00B45B06" w:rsidP="007249A2">
      <w:pPr>
        <w:spacing w:after="120"/>
        <w:jc w:val="both"/>
        <w:rPr>
          <w:rFonts w:ascii="Arial" w:hAnsi="Arial" w:cs="Arial"/>
          <w:sz w:val="18"/>
          <w:szCs w:val="18"/>
        </w:rPr>
      </w:pPr>
    </w:p>
    <w:sectPr w:rsidR="00B45B06" w:rsidRPr="007B1413" w:rsidSect="00EC272E">
      <w:headerReference w:type="default" r:id="rId7"/>
      <w:footerReference w:type="default" r:id="rId8"/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5ACA2" w14:textId="77777777" w:rsidR="00BD1FBA" w:rsidRDefault="00BD1FBA" w:rsidP="00EC272E">
      <w:r>
        <w:separator/>
      </w:r>
    </w:p>
  </w:endnote>
  <w:endnote w:type="continuationSeparator" w:id="0">
    <w:p w14:paraId="5CFA868F" w14:textId="77777777" w:rsidR="00BD1FBA" w:rsidRDefault="00BD1FBA" w:rsidP="00EC2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 (Body CS)">
    <w:altName w:val="Tahoma"/>
    <w:panose1 w:val="020B0604020202020204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ED0F4" w14:textId="77777777" w:rsidR="00600C8D" w:rsidRPr="0086169F" w:rsidRDefault="00600C8D" w:rsidP="00600C8D">
    <w:pPr>
      <w:rPr>
        <w:rFonts w:ascii="Arial" w:hAnsi="Arial" w:cs="Arial"/>
      </w:rPr>
    </w:pPr>
  </w:p>
  <w:p w14:paraId="49F31288" w14:textId="77777777" w:rsidR="00600C8D" w:rsidRDefault="00600C8D" w:rsidP="00600C8D"/>
  <w:tbl>
    <w:tblPr>
      <w:tblStyle w:val="TableGrid"/>
      <w:tblW w:w="0" w:type="auto"/>
      <w:tblBorders>
        <w:top w:val="single" w:sz="4" w:space="0" w:color="00807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5"/>
      <w:gridCol w:w="3943"/>
    </w:tblGrid>
    <w:tr w:rsidR="00600C8D" w14:paraId="07A00F58" w14:textId="77777777" w:rsidTr="00CE0880">
      <w:tc>
        <w:tcPr>
          <w:tcW w:w="4885" w:type="dxa"/>
        </w:tcPr>
        <w:p w14:paraId="0D1AC8D8" w14:textId="77777777" w:rsidR="00600C8D" w:rsidRPr="00910245" w:rsidRDefault="00600C8D" w:rsidP="00600C8D">
          <w:pPr>
            <w:rPr>
              <w:rFonts w:ascii="Arial" w:eastAsia="MS Gothic" w:hAnsi="Arial" w:cs="Arial"/>
              <w:b/>
              <w:color w:val="008080"/>
              <w:sz w:val="18"/>
              <w:szCs w:val="18"/>
            </w:rPr>
          </w:pPr>
        </w:p>
        <w:p w14:paraId="5797CD5A" w14:textId="77777777" w:rsidR="00600C8D" w:rsidRPr="00910245" w:rsidRDefault="00600C8D" w:rsidP="00600C8D">
          <w:pPr>
            <w:rPr>
              <w:rFonts w:ascii="Arial" w:hAnsi="Arial" w:cs="Arial"/>
              <w:color w:val="008080"/>
              <w:sz w:val="18"/>
              <w:szCs w:val="18"/>
            </w:rPr>
          </w:pPr>
          <w:r w:rsidRPr="00910245">
            <w:rPr>
              <w:rFonts w:ascii="Arial" w:eastAsia="MS Gothic" w:hAnsi="Arial" w:cs="Arial"/>
              <w:b/>
              <w:color w:val="008080"/>
              <w:sz w:val="18"/>
              <w:szCs w:val="18"/>
            </w:rPr>
            <w:t>Chapter 2. Core content for understanding universal health coverage and public budgets for health</w:t>
          </w:r>
        </w:p>
        <w:p w14:paraId="75ADC916" w14:textId="77777777" w:rsidR="00600C8D" w:rsidRPr="00910245" w:rsidRDefault="00600C8D" w:rsidP="00600C8D">
          <w:pPr>
            <w:pStyle w:val="Footer"/>
            <w:rPr>
              <w:rFonts w:ascii="Arial" w:hAnsi="Arial" w:cs="Arial"/>
              <w:b/>
              <w:bCs/>
              <w:color w:val="3CA5DD"/>
              <w:sz w:val="18"/>
              <w:szCs w:val="18"/>
            </w:rPr>
          </w:pPr>
        </w:p>
        <w:p w14:paraId="27085791" w14:textId="77777777" w:rsidR="00600C8D" w:rsidRPr="00910245" w:rsidRDefault="00600C8D" w:rsidP="00600C8D">
          <w:pPr>
            <w:rPr>
              <w:rFonts w:ascii="Arial" w:hAnsi="Arial" w:cs="Arial"/>
              <w:b/>
              <w:bCs/>
              <w:color w:val="3CA5DD"/>
              <w:sz w:val="18"/>
              <w:szCs w:val="18"/>
            </w:rPr>
          </w:pPr>
          <w:r w:rsidRPr="00910245">
            <w:rPr>
              <w:rFonts w:ascii="Arial" w:hAnsi="Arial" w:cs="Arial"/>
              <w:b/>
              <w:bCs/>
              <w:color w:val="3CA5DD"/>
              <w:sz w:val="18"/>
              <w:szCs w:val="18"/>
            </w:rPr>
            <w:t xml:space="preserve">Module 1. Key aspects of health and universal health coverage </w:t>
          </w:r>
        </w:p>
        <w:p w14:paraId="061411D9" w14:textId="77777777" w:rsidR="00600C8D" w:rsidRPr="00910245" w:rsidRDefault="00600C8D" w:rsidP="00600C8D">
          <w:pPr>
            <w:pStyle w:val="Footer"/>
            <w:rPr>
              <w:rFonts w:ascii="Arial" w:hAnsi="Arial" w:cs="Arial"/>
              <w:b/>
              <w:bCs/>
              <w:color w:val="3CA5DD"/>
            </w:rPr>
          </w:pPr>
        </w:p>
      </w:tc>
      <w:tc>
        <w:tcPr>
          <w:tcW w:w="3943" w:type="dxa"/>
        </w:tcPr>
        <w:p w14:paraId="4AFD5FD6" w14:textId="77777777" w:rsidR="00600C8D" w:rsidRPr="00910245" w:rsidRDefault="00600C8D" w:rsidP="00D34792">
          <w:pPr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</w:pPr>
        </w:p>
        <w:p w14:paraId="797138E1" w14:textId="096F9F81" w:rsidR="00600C8D" w:rsidRPr="00910245" w:rsidRDefault="00D34792" w:rsidP="00D34792">
          <w:pPr>
            <w:rPr>
              <w:rFonts w:ascii="Arial" w:eastAsia="MS Gothic" w:hAnsi="Arial" w:cs="Arial"/>
              <w:b/>
              <w:color w:val="008080"/>
              <w:sz w:val="18"/>
              <w:szCs w:val="18"/>
            </w:rPr>
          </w:pPr>
          <w:r w:rsidRPr="00B26630"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t>Section B. Right to health and international, regional and national commitments to universal health coverage</w:t>
          </w:r>
          <w:r w:rsidRPr="00910245">
            <w:rPr>
              <w:rFonts w:ascii="Arial" w:eastAsia="MS Gothic" w:hAnsi="Arial" w:cs="Arial"/>
              <w:b/>
              <w:color w:val="008080"/>
              <w:sz w:val="18"/>
              <w:szCs w:val="18"/>
            </w:rPr>
            <w:t xml:space="preserve"> </w:t>
          </w:r>
        </w:p>
      </w:tc>
    </w:tr>
  </w:tbl>
  <w:p w14:paraId="22796356" w14:textId="77777777" w:rsidR="00600C8D" w:rsidRPr="0086169F" w:rsidRDefault="00600C8D" w:rsidP="00600C8D">
    <w:pPr>
      <w:pStyle w:val="Footer"/>
      <w:jc w:val="right"/>
      <w:rPr>
        <w:rFonts w:ascii="Arial" w:hAnsi="Arial" w:cs="Arial"/>
        <w:b/>
        <w:bCs/>
        <w:color w:val="008080"/>
        <w:sz w:val="20"/>
        <w:szCs w:val="20"/>
      </w:rPr>
    </w:pPr>
    <w:r w:rsidRPr="0086169F">
      <w:rPr>
        <w:rFonts w:ascii="Arial" w:hAnsi="Arial" w:cs="Arial"/>
        <w:b/>
        <w:bCs/>
        <w:color w:val="008080"/>
        <w:sz w:val="20"/>
        <w:szCs w:val="20"/>
      </w:rPr>
      <w:fldChar w:fldCharType="begin"/>
    </w:r>
    <w:r w:rsidRPr="0086169F">
      <w:rPr>
        <w:rFonts w:ascii="Arial" w:hAnsi="Arial" w:cs="Arial"/>
        <w:b/>
        <w:bCs/>
        <w:color w:val="008080"/>
        <w:sz w:val="20"/>
        <w:szCs w:val="20"/>
      </w:rPr>
      <w:instrText xml:space="preserve"> PAGE   \* MERGEFORMAT </w:instrText>
    </w:r>
    <w:r w:rsidRPr="0086169F">
      <w:rPr>
        <w:rFonts w:ascii="Arial" w:hAnsi="Arial" w:cs="Arial"/>
        <w:b/>
        <w:bCs/>
        <w:color w:val="008080"/>
        <w:sz w:val="20"/>
        <w:szCs w:val="20"/>
      </w:rPr>
      <w:fldChar w:fldCharType="separate"/>
    </w:r>
    <w:r>
      <w:rPr>
        <w:rFonts w:ascii="Arial" w:hAnsi="Arial" w:cs="Arial"/>
        <w:b/>
        <w:bCs/>
        <w:color w:val="008080"/>
        <w:sz w:val="20"/>
        <w:szCs w:val="20"/>
      </w:rPr>
      <w:t>27</w:t>
    </w:r>
    <w:r w:rsidRPr="0086169F">
      <w:rPr>
        <w:rFonts w:ascii="Arial" w:hAnsi="Arial" w:cs="Arial"/>
        <w:b/>
        <w:bCs/>
        <w:color w:val="008080"/>
        <w:sz w:val="20"/>
        <w:szCs w:val="20"/>
      </w:rPr>
      <w:fldChar w:fldCharType="end"/>
    </w:r>
  </w:p>
  <w:p w14:paraId="53527D5D" w14:textId="53294A66" w:rsidR="00EC272E" w:rsidRDefault="00600C8D" w:rsidP="00600C8D">
    <w:pPr>
      <w:pStyle w:val="Footer"/>
      <w:tabs>
        <w:tab w:val="clear" w:pos="4680"/>
        <w:tab w:val="clear" w:pos="9360"/>
        <w:tab w:val="left" w:pos="1315"/>
      </w:tabs>
      <w:rPr>
        <w:rFonts w:ascii="Arial" w:hAnsi="Arial" w:cs="Arial"/>
      </w:rPr>
    </w:pPr>
    <w:r w:rsidRPr="0086169F">
      <w:rPr>
        <w:rFonts w:ascii="Arial" w:hAnsi="Arial" w:cs="Arial"/>
      </w:rPr>
      <w:tab/>
    </w:r>
  </w:p>
  <w:p w14:paraId="7217FAB3" w14:textId="77777777" w:rsidR="00600C8D" w:rsidRPr="00600C8D" w:rsidRDefault="00600C8D" w:rsidP="00600C8D">
    <w:pPr>
      <w:pStyle w:val="Footer"/>
      <w:tabs>
        <w:tab w:val="clear" w:pos="4680"/>
        <w:tab w:val="clear" w:pos="9360"/>
        <w:tab w:val="left" w:pos="1315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9ABED" w14:textId="77777777" w:rsidR="00BD1FBA" w:rsidRDefault="00BD1FBA" w:rsidP="00EC272E">
      <w:r>
        <w:separator/>
      </w:r>
    </w:p>
  </w:footnote>
  <w:footnote w:type="continuationSeparator" w:id="0">
    <w:p w14:paraId="00685B5F" w14:textId="77777777" w:rsidR="00BD1FBA" w:rsidRDefault="00BD1FBA" w:rsidP="00EC2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4"/>
      <w:gridCol w:w="6134"/>
    </w:tblGrid>
    <w:tr w:rsidR="00EC272E" w14:paraId="0F635AB7" w14:textId="77777777" w:rsidTr="00CE0880">
      <w:trPr>
        <w:trHeight w:val="1138"/>
      </w:trPr>
      <w:tc>
        <w:tcPr>
          <w:tcW w:w="2694" w:type="dxa"/>
          <w:tcBorders>
            <w:bottom w:val="single" w:sz="4" w:space="0" w:color="00807F"/>
          </w:tcBorders>
        </w:tcPr>
        <w:p w14:paraId="78509BE4" w14:textId="77777777" w:rsidR="00EC272E" w:rsidRDefault="00EC272E" w:rsidP="00EC272E">
          <w:pPr>
            <w:rPr>
              <w:rFonts w:cs="Arial"/>
              <w:b/>
              <w:color w:val="3CA5DD"/>
            </w:rPr>
          </w:pPr>
          <w:r>
            <w:rPr>
              <w:rFonts w:ascii="Arial" w:hAnsi="Arial" w:cs="Arial"/>
              <w:b/>
              <w:noProof/>
              <w:color w:val="008080"/>
              <w:sz w:val="48"/>
              <w:szCs w:val="48"/>
            </w:rPr>
            <w:drawing>
              <wp:anchor distT="0" distB="0" distL="114300" distR="114300" simplePos="0" relativeHeight="251659264" behindDoc="0" locked="0" layoutInCell="1" allowOverlap="1" wp14:anchorId="03848227" wp14:editId="0D81BCCE">
                <wp:simplePos x="0" y="0"/>
                <wp:positionH relativeFrom="column">
                  <wp:posOffset>-18415</wp:posOffset>
                </wp:positionH>
                <wp:positionV relativeFrom="paragraph">
                  <wp:posOffset>483235</wp:posOffset>
                </wp:positionV>
                <wp:extent cx="1102995" cy="312111"/>
                <wp:effectExtent l="0" t="0" r="1905" b="5715"/>
                <wp:wrapNone/>
                <wp:docPr id="34" name="Picture 34" descr="Tex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Picture 24" descr="Text&#10;&#10;Description automatically generated with medium confidenc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2995" cy="3121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B20F1">
            <w:rPr>
              <w:rFonts w:cs="Arial"/>
              <w:b/>
              <w:noProof/>
              <w:color w:val="008080"/>
              <w:sz w:val="64"/>
              <w:szCs w:val="64"/>
            </w:rPr>
            <w:drawing>
              <wp:inline distT="0" distB="0" distL="0" distR="0" wp14:anchorId="4534EBE0" wp14:editId="1A49BD54">
                <wp:extent cx="1103235" cy="373487"/>
                <wp:effectExtent l="0" t="0" r="1905" b="0"/>
                <wp:docPr id="35" name="Picture 35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3" name="Picture 153" descr="Icon&#10;&#10;Description automatically generated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3235" cy="3734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4" w:type="dxa"/>
          <w:tcBorders>
            <w:bottom w:val="single" w:sz="4" w:space="0" w:color="00807F"/>
          </w:tcBorders>
        </w:tcPr>
        <w:p w14:paraId="47796E31" w14:textId="77777777" w:rsidR="00EC272E" w:rsidRDefault="00EC272E" w:rsidP="00EC272E">
          <w:pPr>
            <w:jc w:val="right"/>
            <w:rPr>
              <w:rFonts w:cs="Arial"/>
              <w:b/>
              <w:color w:val="008080"/>
            </w:rPr>
          </w:pPr>
        </w:p>
        <w:p w14:paraId="18852B17" w14:textId="77777777" w:rsidR="00EC272E" w:rsidRPr="006B56E7" w:rsidRDefault="00EC272E" w:rsidP="00EC272E">
          <w:pPr>
            <w:jc w:val="right"/>
            <w:rPr>
              <w:rFonts w:ascii="Arial" w:hAnsi="Arial" w:cs="Arial"/>
              <w:b/>
              <w:color w:val="008080"/>
            </w:rPr>
          </w:pPr>
          <w:r w:rsidRPr="006B56E7">
            <w:rPr>
              <w:rFonts w:ascii="Arial" w:hAnsi="Arial" w:cs="Arial"/>
              <w:b/>
              <w:color w:val="008080"/>
            </w:rPr>
            <w:t xml:space="preserve">Health budget literacy, advocacy and accountability for </w:t>
          </w:r>
          <w:r w:rsidRPr="00EC272E">
            <w:rPr>
              <w:rFonts w:ascii="Arial" w:hAnsi="Arial" w:cs="Arial"/>
              <w:b/>
              <w:color w:val="008080"/>
            </w:rPr>
            <w:t>universal</w:t>
          </w:r>
          <w:r w:rsidRPr="006B56E7">
            <w:rPr>
              <w:rFonts w:ascii="Arial" w:hAnsi="Arial" w:cs="Arial"/>
              <w:b/>
              <w:color w:val="008080"/>
            </w:rPr>
            <w:t xml:space="preserve"> health coverage</w:t>
          </w:r>
        </w:p>
        <w:p w14:paraId="47D2CA4D" w14:textId="77777777" w:rsidR="00EC272E" w:rsidRDefault="00EC272E" w:rsidP="00EC272E">
          <w:pPr>
            <w:jc w:val="right"/>
            <w:rPr>
              <w:rFonts w:ascii="Arial" w:hAnsi="Arial" w:cs="Arial"/>
              <w:b/>
              <w:color w:val="3CA5DD"/>
            </w:rPr>
          </w:pPr>
          <w:r w:rsidRPr="006B56E7">
            <w:rPr>
              <w:rFonts w:ascii="Arial" w:hAnsi="Arial" w:cs="Arial"/>
              <w:b/>
              <w:color w:val="3CA5DD"/>
            </w:rPr>
            <w:t>Toolkit for capacity-building</w:t>
          </w:r>
        </w:p>
        <w:p w14:paraId="7CA7C79B" w14:textId="77777777" w:rsidR="00EC272E" w:rsidRDefault="00EC272E" w:rsidP="00EC272E">
          <w:pPr>
            <w:jc w:val="right"/>
            <w:rPr>
              <w:rFonts w:cs="Arial"/>
              <w:b/>
              <w:color w:val="3CA5DD"/>
            </w:rPr>
          </w:pPr>
        </w:p>
        <w:p w14:paraId="4BA18B21" w14:textId="77777777" w:rsidR="00EC272E" w:rsidRDefault="00EC272E" w:rsidP="00EC272E">
          <w:pPr>
            <w:jc w:val="right"/>
            <w:rPr>
              <w:rFonts w:cs="Arial"/>
              <w:b/>
              <w:color w:val="3CA5DD"/>
            </w:rPr>
          </w:pPr>
        </w:p>
      </w:tc>
    </w:tr>
  </w:tbl>
  <w:p w14:paraId="2D9BFBCB" w14:textId="77777777" w:rsidR="00EC272E" w:rsidRDefault="00EC27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D43EF"/>
    <w:multiLevelType w:val="hybridMultilevel"/>
    <w:tmpl w:val="E4D45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6FF42D7"/>
    <w:multiLevelType w:val="hybridMultilevel"/>
    <w:tmpl w:val="EB941D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D63C5"/>
    <w:multiLevelType w:val="hybridMultilevel"/>
    <w:tmpl w:val="B1105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73C06"/>
    <w:multiLevelType w:val="hybridMultilevel"/>
    <w:tmpl w:val="07942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6441F"/>
    <w:multiLevelType w:val="multilevel"/>
    <w:tmpl w:val="57BA14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Times New Roman" w:hAnsi="Noto Sans Symbols"/>
      </w:rPr>
    </w:lvl>
  </w:abstractNum>
  <w:abstractNum w:abstractNumId="5" w15:restartNumberingAfterBreak="0">
    <w:nsid w:val="52CB02BA"/>
    <w:multiLevelType w:val="hybridMultilevel"/>
    <w:tmpl w:val="9962C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578A1"/>
    <w:multiLevelType w:val="hybridMultilevel"/>
    <w:tmpl w:val="27765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3D93F5E"/>
    <w:multiLevelType w:val="hybridMultilevel"/>
    <w:tmpl w:val="4F76C9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3032F"/>
    <w:multiLevelType w:val="hybridMultilevel"/>
    <w:tmpl w:val="238CF9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BF76B1"/>
    <w:multiLevelType w:val="hybridMultilevel"/>
    <w:tmpl w:val="70828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1321E"/>
    <w:multiLevelType w:val="hybridMultilevel"/>
    <w:tmpl w:val="7B2E1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0"/>
  </w:num>
  <w:num w:numId="5">
    <w:abstractNumId w:val="3"/>
  </w:num>
  <w:num w:numId="6">
    <w:abstractNumId w:val="4"/>
  </w:num>
  <w:num w:numId="7">
    <w:abstractNumId w:val="2"/>
  </w:num>
  <w:num w:numId="8">
    <w:abstractNumId w:val="9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72E"/>
    <w:rsid w:val="00042CC5"/>
    <w:rsid w:val="000B1F5F"/>
    <w:rsid w:val="000D5BC0"/>
    <w:rsid w:val="002D2BE4"/>
    <w:rsid w:val="003268F6"/>
    <w:rsid w:val="003D124A"/>
    <w:rsid w:val="00431272"/>
    <w:rsid w:val="004334AD"/>
    <w:rsid w:val="005C14A4"/>
    <w:rsid w:val="00600C8D"/>
    <w:rsid w:val="007249A2"/>
    <w:rsid w:val="007A4CB0"/>
    <w:rsid w:val="007B1413"/>
    <w:rsid w:val="007E23C4"/>
    <w:rsid w:val="008603E3"/>
    <w:rsid w:val="00953035"/>
    <w:rsid w:val="00A0194E"/>
    <w:rsid w:val="00A431D5"/>
    <w:rsid w:val="00B45B06"/>
    <w:rsid w:val="00BD1FBA"/>
    <w:rsid w:val="00D1217B"/>
    <w:rsid w:val="00D34792"/>
    <w:rsid w:val="00DC29BE"/>
    <w:rsid w:val="00EC272E"/>
    <w:rsid w:val="00EE5FBC"/>
    <w:rsid w:val="00F6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70ABE3"/>
  <w15:chartTrackingRefBased/>
  <w15:docId w15:val="{0DC45A1E-7372-BC45-9040-348B3157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Heading3"/>
    <w:next w:val="Normal"/>
    <w:link w:val="Heading1Char"/>
    <w:uiPriority w:val="9"/>
    <w:qFormat/>
    <w:rsid w:val="00EC272E"/>
    <w:pPr>
      <w:outlineLvl w:val="0"/>
    </w:pPr>
    <w:rPr>
      <w:color w:val="008080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27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C272E"/>
    <w:pPr>
      <w:spacing w:after="120"/>
      <w:jc w:val="both"/>
      <w:outlineLvl w:val="2"/>
    </w:pPr>
    <w:rPr>
      <w:rFonts w:ascii="Arial" w:eastAsia="MS Mincho" w:hAnsi="Arial" w:cs="Arial"/>
      <w:b/>
      <w:color w:val="3CA5DD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qFormat/>
    <w:rsid w:val="00EC272E"/>
    <w:pPr>
      <w:spacing w:after="120"/>
      <w:jc w:val="both"/>
      <w:outlineLvl w:val="3"/>
    </w:pPr>
    <w:rPr>
      <w:rFonts w:ascii="Arial" w:eastAsia="MS Mincho" w:hAnsi="Arial" w:cs="Arial"/>
      <w:b/>
      <w:iCs/>
      <w:color w:val="3CA5DD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A0194E"/>
    <w:pPr>
      <w:tabs>
        <w:tab w:val="left" w:pos="630"/>
        <w:tab w:val="right" w:pos="10070"/>
      </w:tabs>
      <w:spacing w:before="360" w:line="274" w:lineRule="auto"/>
    </w:pPr>
    <w:rPr>
      <w:rFonts w:ascii="Arial" w:hAnsi="Arial" w:cs="Tahoma (Body CS)"/>
      <w:bCs/>
      <w:noProof/>
      <w:color w:val="013147"/>
      <w:sz w:val="28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210"/>
    </w:pPr>
    <w:rPr>
      <w:rFonts w:ascii="Arial" w:hAnsi="Arial"/>
      <w:color w:val="6E9AC7"/>
      <w:sz w:val="20"/>
      <w:szCs w:val="20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420"/>
    </w:pPr>
    <w:rPr>
      <w:rFonts w:ascii="Arial" w:hAnsi="Arial"/>
      <w:color w:val="6E9AC7"/>
      <w:sz w:val="20"/>
      <w:szCs w:val="20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629"/>
    </w:pPr>
    <w:rPr>
      <w:rFonts w:ascii="Arial" w:hAnsi="Arial"/>
      <w:color w:val="6E9AC7"/>
      <w:sz w:val="20"/>
      <w:szCs w:val="20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839"/>
    </w:pPr>
    <w:rPr>
      <w:rFonts w:ascii="Arial" w:hAnsi="Arial"/>
      <w:color w:val="6E9AC7"/>
      <w:sz w:val="20"/>
      <w:szCs w:val="20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1049"/>
    </w:pPr>
    <w:rPr>
      <w:rFonts w:ascii="Arial" w:hAnsi="Arial"/>
      <w:color w:val="6E9AC7"/>
      <w:sz w:val="20"/>
      <w:szCs w:val="20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1259"/>
    </w:pPr>
    <w:rPr>
      <w:rFonts w:ascii="Arial" w:hAnsi="Arial"/>
      <w:color w:val="6E9AC7"/>
      <w:sz w:val="20"/>
      <w:szCs w:val="20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1469"/>
    </w:pPr>
    <w:rPr>
      <w:rFonts w:ascii="Arial" w:hAnsi="Arial"/>
      <w:color w:val="6E9AC7"/>
      <w:sz w:val="20"/>
      <w:szCs w:val="2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0194E"/>
    <w:pPr>
      <w:spacing w:before="240" w:line="274" w:lineRule="auto"/>
    </w:pPr>
    <w:rPr>
      <w:rFonts w:ascii="Arial" w:hAnsi="Arial" w:cs="Tahoma (Body CS)"/>
      <w:bCs/>
      <w:color w:val="013147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C272E"/>
    <w:rPr>
      <w:rFonts w:ascii="Arial" w:eastAsia="MS Mincho" w:hAnsi="Arial" w:cs="Arial"/>
      <w:b/>
      <w:color w:val="3CA5DD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EC272E"/>
    <w:rPr>
      <w:rFonts w:ascii="Arial" w:eastAsia="MS Mincho" w:hAnsi="Arial" w:cs="Arial"/>
      <w:b/>
      <w:iCs/>
      <w:color w:val="3CA5DD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EC272E"/>
    <w:rPr>
      <w:rFonts w:ascii="Arial" w:eastAsia="MS Mincho" w:hAnsi="Arial" w:cs="Times New Roman"/>
      <w:color w:val="767171"/>
      <w:sz w:val="18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C272E"/>
    <w:rPr>
      <w:rFonts w:ascii="Arial" w:eastAsia="MS Mincho" w:hAnsi="Arial" w:cs="Times New Roman"/>
      <w:color w:val="767171"/>
      <w:sz w:val="18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EC272E"/>
    <w:rPr>
      <w:vertAlign w:val="superscript"/>
    </w:rPr>
  </w:style>
  <w:style w:type="paragraph" w:customStyle="1" w:styleId="TableHeadings">
    <w:name w:val="Table Headings"/>
    <w:basedOn w:val="Normal"/>
    <w:qFormat/>
    <w:rsid w:val="00EC272E"/>
    <w:rPr>
      <w:rFonts w:ascii="Arial" w:eastAsia="MS Mincho" w:hAnsi="Arial" w:cs="Arial"/>
      <w:b/>
      <w:bCs/>
      <w:iCs/>
      <w:color w:val="FFFFFF" w:themeColor="background1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C27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72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C27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72E"/>
    <w:rPr>
      <w:rFonts w:eastAsiaTheme="minorEastAsia"/>
    </w:rPr>
  </w:style>
  <w:style w:type="table" w:styleId="TableGrid">
    <w:name w:val="Table Grid"/>
    <w:basedOn w:val="TableNormal"/>
    <w:uiPriority w:val="59"/>
    <w:rsid w:val="00EC272E"/>
    <w:rPr>
      <w:rFonts w:ascii="Garamond" w:eastAsia="Times New Roman" w:hAnsi="Garamond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EC27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C272E"/>
    <w:rPr>
      <w:rFonts w:ascii="Arial" w:eastAsia="MS Mincho" w:hAnsi="Arial" w:cs="Arial"/>
      <w:b/>
      <w:color w:val="008080"/>
      <w:sz w:val="44"/>
      <w:szCs w:val="44"/>
      <w:lang w:val="en-GB"/>
    </w:rPr>
  </w:style>
  <w:style w:type="character" w:styleId="Hyperlink">
    <w:name w:val="Hyperlink"/>
    <w:basedOn w:val="DefaultParagraphFont"/>
    <w:uiPriority w:val="99"/>
    <w:unhideWhenUsed/>
    <w:rsid w:val="00F64B31"/>
    <w:rPr>
      <w:color w:val="3CA5DD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DC29B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249A2"/>
    <w:pPr>
      <w:ind w:left="720"/>
    </w:pPr>
    <w:rPr>
      <w:rFonts w:ascii="Times New Roman" w:eastAsia="MS Mincho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Schroeter</dc:creator>
  <cp:keywords/>
  <dc:description/>
  <cp:lastModifiedBy>Matt Schroeter</cp:lastModifiedBy>
  <cp:revision>2</cp:revision>
  <dcterms:created xsi:type="dcterms:W3CDTF">2021-05-17T19:26:00Z</dcterms:created>
  <dcterms:modified xsi:type="dcterms:W3CDTF">2021-05-17T19:26:00Z</dcterms:modified>
</cp:coreProperties>
</file>