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9BC10" w14:textId="394EA379" w:rsidR="00896C8C" w:rsidRPr="00093C31" w:rsidRDefault="00896C8C" w:rsidP="00896C8C">
      <w:pPr>
        <w:pStyle w:val="Heading1"/>
        <w:jc w:val="left"/>
      </w:pPr>
      <w:bookmarkStart w:id="0" w:name="_Toc72157312"/>
      <w:r w:rsidRPr="00093C31">
        <w:t>A3. On what should health policies focus in order for countries to achieve UHC?</w:t>
      </w:r>
      <w:bookmarkEnd w:id="0"/>
      <w:r w:rsidRPr="00093C31">
        <w:t xml:space="preserve"> </w:t>
      </w:r>
    </w:p>
    <w:p w14:paraId="37C3B94B" w14:textId="77777777" w:rsidR="00896C8C" w:rsidRDefault="00896C8C" w:rsidP="00896C8C">
      <w:pPr>
        <w:spacing w:after="120"/>
        <w:jc w:val="both"/>
        <w:rPr>
          <w:rFonts w:ascii="Arial" w:hAnsi="Arial" w:cs="Arial"/>
          <w:sz w:val="22"/>
        </w:rPr>
      </w:pPr>
    </w:p>
    <w:p w14:paraId="53B07E3D" w14:textId="18E22C21" w:rsidR="00896C8C" w:rsidRPr="00093C31" w:rsidRDefault="00896C8C" w:rsidP="00896C8C">
      <w:pPr>
        <w:spacing w:after="120"/>
        <w:jc w:val="both"/>
        <w:rPr>
          <w:rFonts w:ascii="Arial" w:hAnsi="Arial" w:cs="Arial"/>
          <w:sz w:val="22"/>
        </w:rPr>
      </w:pPr>
      <w:r w:rsidRPr="00093C31">
        <w:rPr>
          <w:rFonts w:ascii="Arial" w:hAnsi="Arial" w:cs="Arial"/>
          <w:sz w:val="22"/>
        </w:rPr>
        <w:t xml:space="preserve">In </w:t>
      </w:r>
      <w:r w:rsidRPr="00093C31">
        <w:rPr>
          <w:rFonts w:ascii="Arial" w:hAnsi="Arial" w:cs="Arial"/>
          <w:bCs/>
          <w:sz w:val="22"/>
          <w:szCs w:val="22"/>
        </w:rPr>
        <w:t>advocacy</w:t>
      </w:r>
      <w:r w:rsidRPr="00093C31">
        <w:rPr>
          <w:rFonts w:ascii="Arial" w:hAnsi="Arial" w:cs="Arial"/>
          <w:sz w:val="22"/>
        </w:rPr>
        <w:t xml:space="preserve"> for UHC, it is important to </w:t>
      </w:r>
      <w:r w:rsidRPr="00093C31">
        <w:rPr>
          <w:rFonts w:ascii="Arial" w:hAnsi="Arial" w:cs="Arial"/>
          <w:bCs/>
          <w:sz w:val="22"/>
          <w:szCs w:val="22"/>
        </w:rPr>
        <w:t>understand</w:t>
      </w:r>
      <w:r w:rsidRPr="00093C31">
        <w:rPr>
          <w:rFonts w:ascii="Arial" w:hAnsi="Arial" w:cs="Arial"/>
          <w:sz w:val="22"/>
        </w:rPr>
        <w:t xml:space="preserve"> what </w:t>
      </w:r>
      <w:r w:rsidRPr="00093C31">
        <w:rPr>
          <w:rFonts w:ascii="Arial" w:hAnsi="Arial" w:cs="Arial"/>
          <w:bCs/>
          <w:sz w:val="22"/>
          <w:szCs w:val="22"/>
        </w:rPr>
        <w:t>UHC</w:t>
      </w:r>
      <w:r w:rsidRPr="00093C31">
        <w:rPr>
          <w:rFonts w:ascii="Arial" w:hAnsi="Arial" w:cs="Arial"/>
          <w:sz w:val="22"/>
        </w:rPr>
        <w:t xml:space="preserve"> means and </w:t>
      </w:r>
      <w:r w:rsidRPr="00093C31">
        <w:rPr>
          <w:rFonts w:ascii="Arial" w:hAnsi="Arial" w:cs="Arial"/>
          <w:bCs/>
          <w:sz w:val="22"/>
          <w:szCs w:val="22"/>
        </w:rPr>
        <w:t>the</w:t>
      </w:r>
      <w:r w:rsidRPr="00093C31">
        <w:rPr>
          <w:rFonts w:ascii="Arial" w:hAnsi="Arial" w:cs="Arial"/>
          <w:sz w:val="22"/>
        </w:rPr>
        <w:t xml:space="preserve"> types of public policy choices it should entail. Module </w:t>
      </w:r>
      <w:r w:rsidRPr="00093C31">
        <w:rPr>
          <w:rFonts w:ascii="Arial" w:hAnsi="Arial" w:cs="Arial"/>
          <w:bCs/>
          <w:sz w:val="22"/>
          <w:szCs w:val="22"/>
        </w:rPr>
        <w:t>1</w:t>
      </w:r>
      <w:r w:rsidRPr="00093C31">
        <w:rPr>
          <w:rFonts w:ascii="Arial" w:hAnsi="Arial" w:cs="Arial"/>
          <w:sz w:val="22"/>
        </w:rPr>
        <w:t xml:space="preserve"> in this </w:t>
      </w:r>
      <w:r w:rsidRPr="00093C31">
        <w:rPr>
          <w:rFonts w:ascii="Arial" w:hAnsi="Arial" w:cs="Arial"/>
          <w:bCs/>
          <w:sz w:val="22"/>
          <w:szCs w:val="22"/>
        </w:rPr>
        <w:t>section</w:t>
      </w:r>
      <w:r w:rsidRPr="00093C31">
        <w:rPr>
          <w:rFonts w:ascii="Arial" w:hAnsi="Arial" w:cs="Arial"/>
          <w:sz w:val="22"/>
        </w:rPr>
        <w:t xml:space="preserve"> provides an overview of the content of UHC and is a good </w:t>
      </w:r>
      <w:r w:rsidRPr="00093C31">
        <w:rPr>
          <w:rFonts w:ascii="Arial" w:hAnsi="Arial" w:cs="Arial"/>
          <w:bCs/>
          <w:sz w:val="22"/>
          <w:szCs w:val="22"/>
        </w:rPr>
        <w:t>source for identifying</w:t>
      </w:r>
      <w:r w:rsidRPr="00093C31">
        <w:rPr>
          <w:rFonts w:ascii="Arial" w:hAnsi="Arial" w:cs="Arial"/>
          <w:sz w:val="22"/>
        </w:rPr>
        <w:t xml:space="preserve"> the types of policies it should include. </w:t>
      </w:r>
      <w:r w:rsidRPr="00093C31">
        <w:rPr>
          <w:rFonts w:ascii="Arial" w:hAnsi="Arial" w:cs="Arial"/>
          <w:bCs/>
          <w:sz w:val="22"/>
          <w:szCs w:val="22"/>
        </w:rPr>
        <w:t>This module provides some ideas for advocates on aspects of UHC policies they should monitor to link</w:t>
      </w:r>
      <w:r w:rsidRPr="00093C31">
        <w:rPr>
          <w:rFonts w:ascii="Arial" w:hAnsi="Arial" w:cs="Arial"/>
          <w:sz w:val="22"/>
        </w:rPr>
        <w:t xml:space="preserve"> public policy in general with public policy for </w:t>
      </w:r>
      <w:r w:rsidRPr="00093C31">
        <w:rPr>
          <w:rFonts w:ascii="Arial" w:hAnsi="Arial" w:cs="Arial"/>
          <w:bCs/>
          <w:sz w:val="22"/>
          <w:szCs w:val="22"/>
        </w:rPr>
        <w:t>UHC</w:t>
      </w:r>
      <w:r w:rsidRPr="00093C31">
        <w:rPr>
          <w:rFonts w:ascii="Arial" w:hAnsi="Arial" w:cs="Arial"/>
          <w:sz w:val="22"/>
        </w:rPr>
        <w:t xml:space="preserve">. </w:t>
      </w:r>
    </w:p>
    <w:p w14:paraId="34E7CE7D" w14:textId="77777777" w:rsidR="00896C8C" w:rsidRPr="00093C31" w:rsidRDefault="00896C8C" w:rsidP="00896C8C">
      <w:pPr>
        <w:spacing w:after="120"/>
        <w:ind w:left="567" w:right="616"/>
        <w:jc w:val="both"/>
        <w:rPr>
          <w:rFonts w:ascii="Arial" w:hAnsi="Arial" w:cs="Arial"/>
          <w:sz w:val="22"/>
        </w:rPr>
      </w:pPr>
      <w:r w:rsidRPr="00093C31">
        <w:rPr>
          <w:rFonts w:ascii="Arial" w:hAnsi="Arial" w:cs="Arial"/>
          <w:sz w:val="22"/>
        </w:rPr>
        <w:t>UHC means that all individuals and communities receive the health services that they need without suffering financial hardship. It includes the full spectrum of essential, quality health services, from health promotion to prevention, treatment, rehabilitation, and palliative care</w:t>
      </w:r>
      <w:r w:rsidRPr="00093C31">
        <w:rPr>
          <w:rFonts w:ascii="Arial" w:hAnsi="Arial" w:cs="Arial"/>
          <w:sz w:val="22"/>
          <w:szCs w:val="22"/>
        </w:rPr>
        <w:t xml:space="preserve"> </w:t>
      </w:r>
      <w:r w:rsidRPr="00093C31">
        <w:rPr>
          <w:rFonts w:ascii="Arial" w:hAnsi="Arial" w:cs="Arial"/>
          <w:i/>
          <w:sz w:val="22"/>
          <w:szCs w:val="22"/>
        </w:rPr>
        <w:t>(13)</w:t>
      </w:r>
      <w:r w:rsidRPr="00093C31">
        <w:rPr>
          <w:rFonts w:ascii="Arial" w:hAnsi="Arial" w:cs="Arial"/>
          <w:sz w:val="22"/>
          <w:szCs w:val="22"/>
        </w:rPr>
        <w:t>.</w:t>
      </w:r>
    </w:p>
    <w:p w14:paraId="3BE97391" w14:textId="77777777" w:rsidR="00896C8C" w:rsidRPr="00093C31" w:rsidRDefault="00896C8C" w:rsidP="00896C8C">
      <w:pPr>
        <w:spacing w:after="120"/>
        <w:jc w:val="both"/>
        <w:rPr>
          <w:rFonts w:ascii="Arial" w:hAnsi="Arial" w:cs="Arial"/>
          <w:sz w:val="22"/>
        </w:rPr>
      </w:pPr>
      <w:r w:rsidRPr="00093C31">
        <w:rPr>
          <w:rFonts w:ascii="Arial" w:hAnsi="Arial" w:cs="Arial"/>
          <w:sz w:val="22"/>
          <w:szCs w:val="22"/>
        </w:rPr>
        <w:t>A strong health system is necessary</w:t>
      </w:r>
      <w:r w:rsidRPr="00093C31">
        <w:rPr>
          <w:rFonts w:ascii="Arial" w:hAnsi="Arial" w:cs="Arial"/>
          <w:sz w:val="22"/>
        </w:rPr>
        <w:t xml:space="preserve"> to achieve effective</w:t>
      </w:r>
      <w:r w:rsidRPr="00093C31">
        <w:rPr>
          <w:rFonts w:ascii="Arial" w:hAnsi="Arial" w:cs="Arial"/>
          <w:sz w:val="22"/>
          <w:szCs w:val="22"/>
        </w:rPr>
        <w:t>, high-</w:t>
      </w:r>
      <w:r w:rsidRPr="00093C31">
        <w:rPr>
          <w:rFonts w:ascii="Arial" w:hAnsi="Arial" w:cs="Arial"/>
          <w:sz w:val="22"/>
        </w:rPr>
        <w:t xml:space="preserve">quality coverage: </w:t>
      </w:r>
    </w:p>
    <w:p w14:paraId="06035992" w14:textId="77777777" w:rsidR="00896C8C" w:rsidRPr="00093C31" w:rsidRDefault="00896C8C" w:rsidP="00896C8C">
      <w:pPr>
        <w:spacing w:after="120"/>
        <w:ind w:left="567" w:right="616"/>
        <w:jc w:val="both"/>
        <w:rPr>
          <w:rFonts w:ascii="Arial" w:hAnsi="Arial" w:cs="Arial"/>
          <w:sz w:val="22"/>
        </w:rPr>
      </w:pPr>
      <w:r w:rsidRPr="00093C31">
        <w:rPr>
          <w:rFonts w:ascii="Arial" w:hAnsi="Arial" w:cs="Arial"/>
          <w:sz w:val="22"/>
        </w:rPr>
        <w:t>Health systems and their strengthening are seen as the foundational set of policies, institutions, actions, approaches and tools, required to achieve the goals of UHC and the SDGs</w:t>
      </w:r>
      <w:r w:rsidRPr="00093C31">
        <w:rPr>
          <w:rFonts w:ascii="Arial" w:hAnsi="Arial" w:cs="Arial"/>
          <w:sz w:val="22"/>
          <w:szCs w:val="22"/>
        </w:rPr>
        <w:t xml:space="preserve"> </w:t>
      </w:r>
      <w:r w:rsidRPr="00093C31">
        <w:rPr>
          <w:rFonts w:ascii="Arial" w:hAnsi="Arial" w:cs="Arial"/>
          <w:i/>
          <w:sz w:val="22"/>
          <w:szCs w:val="22"/>
        </w:rPr>
        <w:t>(34)</w:t>
      </w:r>
      <w:r w:rsidRPr="00093C31">
        <w:rPr>
          <w:rFonts w:ascii="Arial" w:hAnsi="Arial" w:cs="Arial"/>
          <w:sz w:val="22"/>
          <w:szCs w:val="22"/>
        </w:rPr>
        <w:t>.</w:t>
      </w:r>
    </w:p>
    <w:p w14:paraId="498FEBFD" w14:textId="77777777" w:rsidR="00896C8C" w:rsidRPr="00093C31" w:rsidRDefault="00896C8C" w:rsidP="00896C8C">
      <w:pPr>
        <w:spacing w:after="120"/>
        <w:jc w:val="both"/>
        <w:rPr>
          <w:rFonts w:ascii="Arial" w:hAnsi="Arial" w:cs="Arial"/>
          <w:sz w:val="22"/>
        </w:rPr>
      </w:pPr>
      <w:r w:rsidRPr="00093C31">
        <w:rPr>
          <w:rFonts w:ascii="Arial" w:hAnsi="Arial" w:cs="Arial"/>
          <w:sz w:val="22"/>
        </w:rPr>
        <w:t xml:space="preserve">According to </w:t>
      </w:r>
      <w:r w:rsidRPr="00093C31">
        <w:rPr>
          <w:rFonts w:ascii="Arial" w:hAnsi="Arial" w:cs="Arial"/>
          <w:sz w:val="22"/>
          <w:szCs w:val="22"/>
        </w:rPr>
        <w:t>the WHO</w:t>
      </w:r>
      <w:r w:rsidRPr="00093C31">
        <w:rPr>
          <w:rFonts w:ascii="Arial" w:hAnsi="Arial" w:cs="Arial"/>
          <w:sz w:val="22"/>
        </w:rPr>
        <w:t xml:space="preserve"> factsheet </w:t>
      </w:r>
      <w:r w:rsidRPr="00093C31">
        <w:rPr>
          <w:rFonts w:ascii="Arial" w:hAnsi="Arial" w:cs="Arial"/>
          <w:i/>
          <w:sz w:val="22"/>
          <w:szCs w:val="22"/>
        </w:rPr>
        <w:t>(13)</w:t>
      </w:r>
      <w:r w:rsidRPr="00093C31">
        <w:rPr>
          <w:rFonts w:ascii="Arial" w:hAnsi="Arial" w:cs="Arial"/>
          <w:sz w:val="22"/>
          <w:szCs w:val="22"/>
        </w:rPr>
        <w:t>,</w:t>
      </w:r>
      <w:r w:rsidRPr="00093C31">
        <w:rPr>
          <w:rFonts w:ascii="Arial" w:hAnsi="Arial" w:cs="Arial"/>
          <w:sz w:val="22"/>
        </w:rPr>
        <w:t xml:space="preserve"> UHC</w:t>
      </w:r>
      <w:r w:rsidRPr="00093C31">
        <w:rPr>
          <w:rFonts w:ascii="Arial" w:hAnsi="Arial" w:cs="Arial"/>
          <w:sz w:val="22"/>
          <w:szCs w:val="22"/>
        </w:rPr>
        <w:t>-</w:t>
      </w:r>
      <w:r w:rsidRPr="00093C31">
        <w:rPr>
          <w:rFonts w:ascii="Arial" w:hAnsi="Arial" w:cs="Arial"/>
          <w:sz w:val="22"/>
        </w:rPr>
        <w:t xml:space="preserve">related policies </w:t>
      </w:r>
      <w:r w:rsidRPr="00093C31">
        <w:rPr>
          <w:rFonts w:ascii="Arial" w:hAnsi="Arial" w:cs="Arial"/>
          <w:sz w:val="22"/>
          <w:szCs w:val="22"/>
        </w:rPr>
        <w:t>refer</w:t>
      </w:r>
      <w:r w:rsidRPr="00093C31">
        <w:rPr>
          <w:rFonts w:ascii="Arial" w:hAnsi="Arial" w:cs="Arial"/>
          <w:sz w:val="22"/>
        </w:rPr>
        <w:t xml:space="preserve"> to actions linked </w:t>
      </w:r>
      <w:r w:rsidRPr="00093C31">
        <w:rPr>
          <w:rFonts w:ascii="Arial" w:hAnsi="Arial" w:cs="Arial"/>
          <w:sz w:val="22"/>
          <w:szCs w:val="22"/>
        </w:rPr>
        <w:t>to health systems strengthening</w:t>
      </w:r>
      <w:r w:rsidRPr="00093C31">
        <w:rPr>
          <w:rFonts w:ascii="Arial" w:hAnsi="Arial" w:cs="Arial"/>
          <w:sz w:val="22"/>
        </w:rPr>
        <w:t xml:space="preserve"> that include:</w:t>
      </w:r>
    </w:p>
    <w:p w14:paraId="315D1A5C" w14:textId="77777777" w:rsidR="00896C8C" w:rsidRPr="00093C31" w:rsidRDefault="00896C8C" w:rsidP="00896C8C">
      <w:pPr>
        <w:numPr>
          <w:ilvl w:val="0"/>
          <w:numId w:val="19"/>
        </w:numPr>
        <w:ind w:left="426" w:hanging="284"/>
        <w:jc w:val="both"/>
        <w:rPr>
          <w:rFonts w:ascii="Arial" w:hAnsi="Arial" w:cs="Arial"/>
          <w:sz w:val="22"/>
          <w:szCs w:val="22"/>
        </w:rPr>
      </w:pPr>
      <w:r w:rsidRPr="00093C31">
        <w:rPr>
          <w:rFonts w:ascii="Arial" w:hAnsi="Arial" w:cs="Arial"/>
          <w:sz w:val="22"/>
          <w:szCs w:val="22"/>
        </w:rPr>
        <w:t xml:space="preserve">coverage; </w:t>
      </w:r>
    </w:p>
    <w:p w14:paraId="5BC8FFE8" w14:textId="77777777" w:rsidR="00896C8C" w:rsidRPr="00093C31" w:rsidRDefault="00896C8C" w:rsidP="00896C8C">
      <w:pPr>
        <w:numPr>
          <w:ilvl w:val="0"/>
          <w:numId w:val="19"/>
        </w:numPr>
        <w:ind w:left="426" w:hanging="284"/>
        <w:jc w:val="both"/>
        <w:rPr>
          <w:rFonts w:ascii="Arial" w:hAnsi="Arial" w:cs="Arial"/>
          <w:sz w:val="22"/>
        </w:rPr>
      </w:pPr>
      <w:r w:rsidRPr="00093C31">
        <w:rPr>
          <w:rFonts w:ascii="Arial" w:hAnsi="Arial" w:cs="Arial"/>
          <w:sz w:val="22"/>
          <w:szCs w:val="22"/>
        </w:rPr>
        <w:t>elimination</w:t>
      </w:r>
      <w:r w:rsidRPr="00093C31">
        <w:rPr>
          <w:rFonts w:ascii="Arial" w:hAnsi="Arial" w:cs="Arial"/>
          <w:sz w:val="22"/>
        </w:rPr>
        <w:t xml:space="preserve"> of out-of-pocket expenses such as user</w:t>
      </w:r>
      <w:r w:rsidRPr="00093C31">
        <w:rPr>
          <w:rFonts w:ascii="Arial" w:hAnsi="Arial" w:cs="Arial"/>
          <w:sz w:val="22"/>
          <w:szCs w:val="22"/>
        </w:rPr>
        <w:t xml:space="preserve"> </w:t>
      </w:r>
      <w:r w:rsidRPr="00093C31">
        <w:rPr>
          <w:rFonts w:ascii="Arial" w:hAnsi="Arial" w:cs="Arial"/>
          <w:sz w:val="22"/>
        </w:rPr>
        <w:t>fees</w:t>
      </w:r>
      <w:r w:rsidRPr="00093C31">
        <w:rPr>
          <w:rFonts w:ascii="Arial" w:hAnsi="Arial" w:cs="Arial"/>
          <w:sz w:val="22"/>
          <w:szCs w:val="22"/>
        </w:rPr>
        <w:t>;</w:t>
      </w:r>
    </w:p>
    <w:p w14:paraId="490E41DF" w14:textId="77777777" w:rsidR="00896C8C" w:rsidRPr="00093C31" w:rsidRDefault="00896C8C" w:rsidP="00896C8C">
      <w:pPr>
        <w:numPr>
          <w:ilvl w:val="0"/>
          <w:numId w:val="19"/>
        </w:numPr>
        <w:ind w:left="426" w:hanging="284"/>
        <w:jc w:val="both"/>
        <w:rPr>
          <w:rFonts w:ascii="Arial" w:hAnsi="Arial" w:cs="Arial"/>
          <w:sz w:val="22"/>
        </w:rPr>
      </w:pPr>
      <w:r w:rsidRPr="00093C31">
        <w:rPr>
          <w:rFonts w:ascii="Arial" w:hAnsi="Arial" w:cs="Arial"/>
          <w:sz w:val="22"/>
          <w:szCs w:val="22"/>
        </w:rPr>
        <w:t>health</w:t>
      </w:r>
      <w:r w:rsidRPr="00093C31">
        <w:rPr>
          <w:rFonts w:ascii="Arial" w:hAnsi="Arial" w:cs="Arial"/>
          <w:sz w:val="22"/>
        </w:rPr>
        <w:t xml:space="preserve"> promotion</w:t>
      </w:r>
      <w:r w:rsidRPr="00093C31">
        <w:rPr>
          <w:rFonts w:ascii="Arial" w:hAnsi="Arial" w:cs="Arial"/>
          <w:sz w:val="22"/>
          <w:szCs w:val="22"/>
        </w:rPr>
        <w:t>;</w:t>
      </w:r>
      <w:r w:rsidRPr="00093C31">
        <w:rPr>
          <w:rFonts w:ascii="Arial" w:hAnsi="Arial" w:cs="Arial"/>
          <w:sz w:val="22"/>
        </w:rPr>
        <w:t xml:space="preserve"> </w:t>
      </w:r>
    </w:p>
    <w:p w14:paraId="4301D2A4" w14:textId="77777777" w:rsidR="00896C8C" w:rsidRPr="00093C31" w:rsidRDefault="00896C8C" w:rsidP="00896C8C">
      <w:pPr>
        <w:numPr>
          <w:ilvl w:val="0"/>
          <w:numId w:val="19"/>
        </w:numPr>
        <w:ind w:left="426" w:hanging="284"/>
        <w:jc w:val="both"/>
        <w:rPr>
          <w:rFonts w:ascii="Arial" w:hAnsi="Arial" w:cs="Arial"/>
          <w:sz w:val="22"/>
        </w:rPr>
      </w:pPr>
      <w:r w:rsidRPr="00093C31">
        <w:rPr>
          <w:rFonts w:ascii="Arial" w:hAnsi="Arial" w:cs="Arial"/>
          <w:sz w:val="22"/>
          <w:szCs w:val="22"/>
        </w:rPr>
        <w:t>disease</w:t>
      </w:r>
      <w:r w:rsidRPr="00093C31">
        <w:rPr>
          <w:rFonts w:ascii="Arial" w:hAnsi="Arial" w:cs="Arial"/>
          <w:sz w:val="22"/>
        </w:rPr>
        <w:t xml:space="preserve"> prevention, treatment and rehabilitation</w:t>
      </w:r>
      <w:r w:rsidRPr="00093C31">
        <w:rPr>
          <w:rFonts w:ascii="Arial" w:hAnsi="Arial" w:cs="Arial"/>
          <w:sz w:val="22"/>
          <w:szCs w:val="22"/>
        </w:rPr>
        <w:t>;</w:t>
      </w:r>
      <w:r w:rsidRPr="00093C31">
        <w:rPr>
          <w:rFonts w:ascii="Arial" w:hAnsi="Arial" w:cs="Arial"/>
          <w:sz w:val="22"/>
        </w:rPr>
        <w:t xml:space="preserve"> </w:t>
      </w:r>
    </w:p>
    <w:p w14:paraId="37FAB41F" w14:textId="77777777" w:rsidR="00896C8C" w:rsidRPr="00093C31" w:rsidRDefault="00896C8C" w:rsidP="00896C8C">
      <w:pPr>
        <w:numPr>
          <w:ilvl w:val="0"/>
          <w:numId w:val="19"/>
        </w:numPr>
        <w:ind w:left="426" w:hanging="284"/>
        <w:jc w:val="both"/>
        <w:rPr>
          <w:rFonts w:ascii="Arial" w:hAnsi="Arial" w:cs="Arial"/>
          <w:sz w:val="22"/>
        </w:rPr>
      </w:pPr>
      <w:r w:rsidRPr="00093C31">
        <w:rPr>
          <w:rFonts w:ascii="Arial" w:hAnsi="Arial" w:cs="Arial"/>
          <w:sz w:val="22"/>
          <w:szCs w:val="22"/>
        </w:rPr>
        <w:t>palliative</w:t>
      </w:r>
      <w:r w:rsidRPr="00093C31">
        <w:rPr>
          <w:rFonts w:ascii="Arial" w:hAnsi="Arial" w:cs="Arial"/>
          <w:sz w:val="22"/>
        </w:rPr>
        <w:t xml:space="preserve"> care</w:t>
      </w:r>
      <w:r w:rsidRPr="00093C31">
        <w:rPr>
          <w:rFonts w:ascii="Arial" w:hAnsi="Arial" w:cs="Arial"/>
          <w:sz w:val="22"/>
          <w:szCs w:val="22"/>
        </w:rPr>
        <w:t>; and</w:t>
      </w:r>
      <w:r w:rsidRPr="00093C31">
        <w:rPr>
          <w:rFonts w:ascii="Arial" w:hAnsi="Arial" w:cs="Arial"/>
          <w:sz w:val="22"/>
        </w:rPr>
        <w:t xml:space="preserve"> </w:t>
      </w:r>
    </w:p>
    <w:p w14:paraId="27DCDB3C" w14:textId="77777777" w:rsidR="00896C8C" w:rsidRPr="00093C31" w:rsidRDefault="00896C8C" w:rsidP="00896C8C">
      <w:pPr>
        <w:numPr>
          <w:ilvl w:val="0"/>
          <w:numId w:val="13"/>
        </w:numPr>
        <w:spacing w:after="120"/>
        <w:ind w:left="426" w:hanging="284"/>
        <w:jc w:val="both"/>
        <w:rPr>
          <w:rFonts w:ascii="Arial" w:hAnsi="Arial" w:cs="Arial"/>
          <w:sz w:val="22"/>
        </w:rPr>
      </w:pPr>
      <w:r w:rsidRPr="00093C31">
        <w:rPr>
          <w:rFonts w:ascii="Arial" w:hAnsi="Arial" w:cs="Arial"/>
          <w:sz w:val="22"/>
          <w:szCs w:val="22"/>
        </w:rPr>
        <w:t>improvements</w:t>
      </w:r>
      <w:r w:rsidRPr="00093C31">
        <w:rPr>
          <w:rFonts w:ascii="Arial" w:hAnsi="Arial" w:cs="Arial"/>
          <w:sz w:val="22"/>
        </w:rPr>
        <w:t xml:space="preserve"> in the quality of care</w:t>
      </w:r>
      <w:r w:rsidRPr="00093C31">
        <w:rPr>
          <w:rFonts w:ascii="Arial" w:hAnsi="Arial" w:cs="Arial"/>
          <w:sz w:val="22"/>
          <w:szCs w:val="22"/>
        </w:rPr>
        <w:t>.</w:t>
      </w:r>
      <w:r w:rsidRPr="00093C31">
        <w:rPr>
          <w:rFonts w:ascii="Arial" w:hAnsi="Arial" w:cs="Arial"/>
          <w:sz w:val="22"/>
        </w:rPr>
        <w:t xml:space="preserve"> </w:t>
      </w:r>
    </w:p>
    <w:p w14:paraId="5ED35BB2" w14:textId="77777777" w:rsidR="00896C8C" w:rsidRPr="00093C31" w:rsidRDefault="00896C8C" w:rsidP="00896C8C">
      <w:pPr>
        <w:spacing w:after="120"/>
        <w:jc w:val="both"/>
        <w:rPr>
          <w:rFonts w:ascii="Arial" w:hAnsi="Arial" w:cs="Arial"/>
          <w:sz w:val="22"/>
          <w:szCs w:val="22"/>
        </w:rPr>
      </w:pPr>
      <w:r w:rsidRPr="00093C31">
        <w:rPr>
          <w:rFonts w:ascii="Arial" w:hAnsi="Arial" w:cs="Arial"/>
          <w:sz w:val="22"/>
          <w:szCs w:val="22"/>
        </w:rPr>
        <w:t>By</w:t>
      </w:r>
      <w:r w:rsidRPr="00093C31">
        <w:rPr>
          <w:rFonts w:ascii="Arial" w:hAnsi="Arial" w:cs="Arial"/>
          <w:sz w:val="22"/>
        </w:rPr>
        <w:t xml:space="preserve"> understanding what UHC is </w:t>
      </w:r>
      <w:r w:rsidRPr="00093C31">
        <w:rPr>
          <w:rFonts w:ascii="Arial" w:hAnsi="Arial" w:cs="Arial"/>
          <w:b/>
          <w:sz w:val="22"/>
          <w:szCs w:val="22"/>
        </w:rPr>
        <w:t>not</w:t>
      </w:r>
      <w:r w:rsidRPr="00093C31">
        <w:rPr>
          <w:rFonts w:ascii="Arial" w:hAnsi="Arial" w:cs="Arial"/>
          <w:sz w:val="22"/>
          <w:szCs w:val="22"/>
        </w:rPr>
        <w:t>,</w:t>
      </w:r>
      <w:r w:rsidRPr="00093C31">
        <w:rPr>
          <w:rFonts w:ascii="Arial" w:hAnsi="Arial" w:cs="Arial"/>
          <w:sz w:val="22"/>
        </w:rPr>
        <w:t xml:space="preserve"> the types of policies necessary to achieve it</w:t>
      </w:r>
      <w:r w:rsidRPr="00093C31">
        <w:rPr>
          <w:rFonts w:ascii="Arial" w:hAnsi="Arial" w:cs="Arial"/>
          <w:sz w:val="22"/>
          <w:szCs w:val="22"/>
        </w:rPr>
        <w:t xml:space="preserve"> can be identified in more detail. </w:t>
      </w:r>
    </w:p>
    <w:p w14:paraId="6D719FC4" w14:textId="77777777" w:rsidR="00896C8C" w:rsidRPr="00093C31" w:rsidRDefault="00896C8C" w:rsidP="00896C8C">
      <w:pPr>
        <w:spacing w:after="120"/>
        <w:jc w:val="both"/>
        <w:rPr>
          <w:rFonts w:ascii="Arial" w:hAnsi="Arial" w:cs="Arial"/>
          <w:sz w:val="22"/>
        </w:rPr>
      </w:pPr>
      <w:r w:rsidRPr="00093C31">
        <w:rPr>
          <w:rFonts w:ascii="Arial" w:hAnsi="Arial" w:cs="Arial"/>
          <w:sz w:val="22"/>
          <w:szCs w:val="22"/>
        </w:rPr>
        <w:t>Box 1</w:t>
      </w:r>
      <w:r w:rsidRPr="00093C31">
        <w:rPr>
          <w:rFonts w:ascii="Arial" w:hAnsi="Arial" w:cs="Arial"/>
          <w:sz w:val="22"/>
        </w:rPr>
        <w:t xml:space="preserve"> summarizes in the words of WHO </w:t>
      </w:r>
      <w:r w:rsidRPr="00093C31">
        <w:rPr>
          <w:rFonts w:ascii="Arial" w:hAnsi="Arial" w:cs="Arial"/>
          <w:i/>
          <w:sz w:val="22"/>
          <w:szCs w:val="22"/>
        </w:rPr>
        <w:t xml:space="preserve">(13) </w:t>
      </w:r>
      <w:r w:rsidRPr="00093C31">
        <w:rPr>
          <w:rFonts w:ascii="Arial" w:hAnsi="Arial" w:cs="Arial"/>
          <w:sz w:val="22"/>
        </w:rPr>
        <w:t>what does not constitute UHC</w:t>
      </w:r>
      <w:r w:rsidRPr="00093C31">
        <w:rPr>
          <w:rFonts w:ascii="Arial" w:hAnsi="Arial" w:cs="Arial"/>
          <w:sz w:val="22"/>
          <w:szCs w:val="22"/>
        </w:rPr>
        <w:t>.</w:t>
      </w:r>
    </w:p>
    <w:p w14:paraId="3B0B15D1" w14:textId="77777777" w:rsidR="00896C8C" w:rsidRPr="00093C31" w:rsidRDefault="00896C8C" w:rsidP="00896C8C">
      <w:pPr>
        <w:spacing w:after="120"/>
        <w:jc w:val="both"/>
        <w:rPr>
          <w:rFonts w:ascii="Arial" w:hAnsi="Arial" w:cs="Arial"/>
          <w:sz w:val="22"/>
          <w:szCs w:val="22"/>
        </w:rPr>
      </w:pPr>
    </w:p>
    <w:p w14:paraId="3350D742" w14:textId="77777777" w:rsidR="00896C8C" w:rsidRPr="00093C31" w:rsidRDefault="00896C8C" w:rsidP="00896C8C">
      <w:pPr>
        <w:spacing w:after="120"/>
        <w:jc w:val="both"/>
        <w:rPr>
          <w:rFonts w:ascii="Arial" w:hAnsi="Arial" w:cs="Arial"/>
          <w:sz w:val="22"/>
          <w:szCs w:val="22"/>
        </w:rPr>
      </w:pPr>
      <w:r w:rsidRPr="00093C31">
        <w:rPr>
          <w:rFonts w:ascii="Arial" w:hAnsi="Arial" w:cs="Arial"/>
          <w:noProof/>
          <w:sz w:val="22"/>
          <w:szCs w:val="22"/>
          <w:lang w:eastAsia="es-ES"/>
        </w:rPr>
        <w:lastRenderedPageBreak/>
        <w:drawing>
          <wp:inline distT="0" distB="0" distL="0" distR="0" wp14:anchorId="4AE86073" wp14:editId="4FC8F9BD">
            <wp:extent cx="5276850" cy="3162300"/>
            <wp:effectExtent l="0" t="0" r="6350" b="0"/>
            <wp:docPr id="20" name="Picture 20" descr="Captura de pantalla 2019-07-31 a la(s)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descr="Captura de pantalla 2019-07-31 a la(s) 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162300"/>
                    </a:xfrm>
                    <a:prstGeom prst="rect">
                      <a:avLst/>
                    </a:prstGeom>
                    <a:gradFill>
                      <a:gsLst>
                        <a:gs pos="0">
                          <a:srgbClr val="3CA5DD"/>
                        </a:gs>
                        <a:gs pos="100000">
                          <a:srgbClr val="008080"/>
                        </a:gs>
                      </a:gsLst>
                      <a:lin ang="1800000" scaled="0"/>
                    </a:gradFill>
                    <a:ln w="9525" cmpd="sng">
                      <a:noFill/>
                      <a:miter lim="800000"/>
                      <a:headEnd/>
                      <a:tailEnd/>
                    </a:ln>
                    <a:effectLst/>
                  </pic:spPr>
                </pic:pic>
              </a:graphicData>
            </a:graphic>
          </wp:inline>
        </w:drawing>
      </w:r>
    </w:p>
    <w:p w14:paraId="3F5EBAC5" w14:textId="77777777" w:rsidR="00896C8C" w:rsidRPr="00093C31" w:rsidRDefault="00896C8C" w:rsidP="00896C8C">
      <w:pPr>
        <w:spacing w:after="120"/>
        <w:jc w:val="both"/>
        <w:rPr>
          <w:rFonts w:ascii="Arial" w:hAnsi="Arial" w:cs="Arial"/>
          <w:sz w:val="22"/>
          <w:szCs w:val="22"/>
        </w:rPr>
      </w:pPr>
    </w:p>
    <w:p w14:paraId="302FEF75" w14:textId="77777777" w:rsidR="00896C8C" w:rsidRPr="00093C31" w:rsidRDefault="00896C8C" w:rsidP="00896C8C">
      <w:pPr>
        <w:spacing w:after="120"/>
        <w:jc w:val="both"/>
        <w:rPr>
          <w:rFonts w:ascii="Arial" w:hAnsi="Arial" w:cs="Arial"/>
          <w:sz w:val="22"/>
        </w:rPr>
      </w:pPr>
      <w:r w:rsidRPr="00093C31">
        <w:rPr>
          <w:rFonts w:ascii="Arial" w:hAnsi="Arial" w:cs="Arial"/>
          <w:sz w:val="22"/>
        </w:rPr>
        <w:t xml:space="preserve">A few elements </w:t>
      </w:r>
      <w:r w:rsidRPr="00093C31">
        <w:rPr>
          <w:rFonts w:ascii="Arial" w:hAnsi="Arial" w:cs="Arial"/>
          <w:sz w:val="22"/>
          <w:szCs w:val="22"/>
        </w:rPr>
        <w:t xml:space="preserve">that might </w:t>
      </w:r>
      <w:r w:rsidRPr="00093C31">
        <w:rPr>
          <w:rFonts w:ascii="Arial" w:hAnsi="Arial" w:cs="Arial"/>
          <w:sz w:val="22"/>
        </w:rPr>
        <w:t xml:space="preserve">useful to </w:t>
      </w:r>
      <w:r w:rsidRPr="00093C31">
        <w:rPr>
          <w:rFonts w:ascii="Arial" w:hAnsi="Arial" w:cs="Arial"/>
          <w:sz w:val="22"/>
          <w:szCs w:val="22"/>
        </w:rPr>
        <w:t xml:space="preserve">consider with regard to </w:t>
      </w:r>
      <w:r w:rsidRPr="00093C31">
        <w:rPr>
          <w:rFonts w:ascii="Arial" w:hAnsi="Arial" w:cs="Arial"/>
          <w:sz w:val="22"/>
        </w:rPr>
        <w:t xml:space="preserve">UHC policy </w:t>
      </w:r>
      <w:r w:rsidRPr="00093C31">
        <w:rPr>
          <w:rFonts w:ascii="Arial" w:hAnsi="Arial" w:cs="Arial"/>
          <w:sz w:val="22"/>
          <w:szCs w:val="22"/>
        </w:rPr>
        <w:t>budgets are</w:t>
      </w:r>
      <w:r w:rsidRPr="00093C31">
        <w:rPr>
          <w:rFonts w:ascii="Arial" w:hAnsi="Arial" w:cs="Arial"/>
          <w:sz w:val="22"/>
        </w:rPr>
        <w:t>:</w:t>
      </w:r>
    </w:p>
    <w:p w14:paraId="3A0237D1" w14:textId="77777777" w:rsidR="00896C8C" w:rsidRPr="00093C31" w:rsidRDefault="00896C8C" w:rsidP="00896C8C">
      <w:pPr>
        <w:numPr>
          <w:ilvl w:val="0"/>
          <w:numId w:val="14"/>
        </w:numPr>
        <w:ind w:left="426" w:hanging="284"/>
        <w:jc w:val="both"/>
        <w:rPr>
          <w:rFonts w:ascii="Arial" w:hAnsi="Arial" w:cs="Arial"/>
          <w:sz w:val="22"/>
        </w:rPr>
      </w:pPr>
      <w:r w:rsidRPr="00093C31">
        <w:rPr>
          <w:rFonts w:ascii="Arial" w:hAnsi="Arial" w:cs="Arial"/>
          <w:sz w:val="22"/>
        </w:rPr>
        <w:t xml:space="preserve">Progressive </w:t>
      </w:r>
      <w:r w:rsidRPr="00093C31">
        <w:rPr>
          <w:rFonts w:ascii="Arial" w:hAnsi="Arial" w:cs="Arial"/>
          <w:sz w:val="22"/>
          <w:szCs w:val="22"/>
        </w:rPr>
        <w:t>extension</w:t>
      </w:r>
      <w:r w:rsidRPr="00093C31">
        <w:rPr>
          <w:rFonts w:ascii="Arial" w:hAnsi="Arial" w:cs="Arial"/>
          <w:sz w:val="22"/>
        </w:rPr>
        <w:t xml:space="preserve"> of coverage and financial protection </w:t>
      </w:r>
      <w:r w:rsidRPr="00093C31">
        <w:rPr>
          <w:rFonts w:ascii="Arial" w:hAnsi="Arial" w:cs="Arial"/>
          <w:sz w:val="22"/>
          <w:szCs w:val="22"/>
        </w:rPr>
        <w:t>according to</w:t>
      </w:r>
      <w:r w:rsidRPr="00093C31">
        <w:rPr>
          <w:rFonts w:ascii="Arial" w:hAnsi="Arial" w:cs="Arial"/>
          <w:sz w:val="22"/>
        </w:rPr>
        <w:t xml:space="preserve"> the availability of resources: </w:t>
      </w:r>
      <w:r w:rsidRPr="00093C31">
        <w:rPr>
          <w:rFonts w:ascii="Arial" w:hAnsi="Arial" w:cs="Arial"/>
          <w:sz w:val="22"/>
          <w:szCs w:val="22"/>
        </w:rPr>
        <w:t>thus,</w:t>
      </w:r>
      <w:r w:rsidRPr="00093C31">
        <w:rPr>
          <w:rFonts w:ascii="Arial" w:hAnsi="Arial" w:cs="Arial"/>
          <w:sz w:val="22"/>
        </w:rPr>
        <w:t xml:space="preserve"> as more sources of </w:t>
      </w:r>
      <w:r w:rsidRPr="00093C31">
        <w:rPr>
          <w:rFonts w:ascii="Arial" w:hAnsi="Arial" w:cs="Arial"/>
          <w:sz w:val="22"/>
          <w:szCs w:val="22"/>
        </w:rPr>
        <w:t xml:space="preserve">public </w:t>
      </w:r>
      <w:r w:rsidRPr="00093C31">
        <w:rPr>
          <w:rFonts w:ascii="Arial" w:hAnsi="Arial" w:cs="Arial"/>
          <w:sz w:val="22"/>
        </w:rPr>
        <w:t xml:space="preserve">financing </w:t>
      </w:r>
      <w:r w:rsidRPr="00093C31">
        <w:rPr>
          <w:rFonts w:ascii="Arial" w:hAnsi="Arial" w:cs="Arial"/>
          <w:sz w:val="22"/>
          <w:szCs w:val="22"/>
        </w:rPr>
        <w:t>become</w:t>
      </w:r>
      <w:r w:rsidRPr="00093C31">
        <w:rPr>
          <w:rFonts w:ascii="Arial" w:hAnsi="Arial" w:cs="Arial"/>
          <w:sz w:val="22"/>
        </w:rPr>
        <w:t xml:space="preserve"> available, coverage should be </w:t>
      </w:r>
      <w:r w:rsidRPr="00093C31">
        <w:rPr>
          <w:rFonts w:ascii="Arial" w:hAnsi="Arial" w:cs="Arial"/>
          <w:sz w:val="22"/>
          <w:szCs w:val="22"/>
        </w:rPr>
        <w:t>extended</w:t>
      </w:r>
      <w:r w:rsidRPr="00093C31">
        <w:rPr>
          <w:rFonts w:ascii="Arial" w:hAnsi="Arial" w:cs="Arial"/>
          <w:sz w:val="22"/>
        </w:rPr>
        <w:t xml:space="preserve">. </w:t>
      </w:r>
    </w:p>
    <w:p w14:paraId="02241E60" w14:textId="77777777" w:rsidR="00896C8C" w:rsidRPr="00093C31" w:rsidRDefault="00896C8C" w:rsidP="00896C8C">
      <w:pPr>
        <w:numPr>
          <w:ilvl w:val="0"/>
          <w:numId w:val="14"/>
        </w:numPr>
        <w:ind w:left="426" w:hanging="284"/>
        <w:jc w:val="both"/>
        <w:rPr>
          <w:rFonts w:ascii="Arial" w:hAnsi="Arial" w:cs="Arial"/>
          <w:sz w:val="22"/>
        </w:rPr>
      </w:pPr>
      <w:r w:rsidRPr="00093C31">
        <w:rPr>
          <w:rFonts w:ascii="Arial" w:hAnsi="Arial" w:cs="Arial"/>
          <w:sz w:val="22"/>
          <w:szCs w:val="22"/>
        </w:rPr>
        <w:t>Policies</w:t>
      </w:r>
      <w:r w:rsidRPr="00093C31">
        <w:rPr>
          <w:rFonts w:ascii="Arial" w:hAnsi="Arial" w:cs="Arial"/>
          <w:sz w:val="22"/>
        </w:rPr>
        <w:t xml:space="preserve"> should include individual treatment</w:t>
      </w:r>
      <w:r w:rsidRPr="00093C31">
        <w:rPr>
          <w:rFonts w:ascii="Arial" w:hAnsi="Arial" w:cs="Arial"/>
          <w:sz w:val="22"/>
          <w:szCs w:val="22"/>
        </w:rPr>
        <w:t>; however,</w:t>
      </w:r>
      <w:r w:rsidRPr="00093C31">
        <w:rPr>
          <w:rFonts w:ascii="Arial" w:hAnsi="Arial" w:cs="Arial"/>
          <w:sz w:val="22"/>
        </w:rPr>
        <w:t xml:space="preserve"> broader policies such as health campaigns</w:t>
      </w:r>
      <w:r w:rsidRPr="00093C31">
        <w:rPr>
          <w:rFonts w:ascii="Arial" w:hAnsi="Arial" w:cs="Arial"/>
          <w:sz w:val="22"/>
          <w:szCs w:val="22"/>
        </w:rPr>
        <w:t xml:space="preserve"> and</w:t>
      </w:r>
      <w:r w:rsidRPr="00093C31">
        <w:rPr>
          <w:rFonts w:ascii="Arial" w:hAnsi="Arial" w:cs="Arial"/>
          <w:sz w:val="22"/>
        </w:rPr>
        <w:t xml:space="preserve"> malaria prevention</w:t>
      </w:r>
      <w:r w:rsidRPr="00093C31">
        <w:rPr>
          <w:rFonts w:ascii="Arial" w:hAnsi="Arial" w:cs="Arial"/>
          <w:sz w:val="22"/>
          <w:szCs w:val="22"/>
        </w:rPr>
        <w:t xml:space="preserve"> help prevent disease</w:t>
      </w:r>
      <w:r w:rsidRPr="00093C31">
        <w:rPr>
          <w:rFonts w:ascii="Arial" w:hAnsi="Arial" w:cs="Arial"/>
          <w:sz w:val="22"/>
        </w:rPr>
        <w:t xml:space="preserve">. </w:t>
      </w:r>
    </w:p>
    <w:p w14:paraId="3EAE0D5C" w14:textId="77777777" w:rsidR="00896C8C" w:rsidRPr="00093C31" w:rsidRDefault="00896C8C" w:rsidP="00896C8C">
      <w:pPr>
        <w:numPr>
          <w:ilvl w:val="0"/>
          <w:numId w:val="14"/>
        </w:numPr>
        <w:spacing w:after="120"/>
        <w:ind w:left="426" w:hanging="284"/>
        <w:jc w:val="both"/>
        <w:rPr>
          <w:rFonts w:ascii="Arial" w:hAnsi="Arial" w:cs="Arial"/>
          <w:sz w:val="22"/>
        </w:rPr>
      </w:pPr>
      <w:r w:rsidRPr="00093C31">
        <w:rPr>
          <w:rFonts w:ascii="Arial" w:hAnsi="Arial" w:cs="Arial"/>
          <w:sz w:val="22"/>
          <w:szCs w:val="22"/>
        </w:rPr>
        <w:t>Policies should</w:t>
      </w:r>
      <w:r w:rsidRPr="00093C31">
        <w:rPr>
          <w:rFonts w:ascii="Arial" w:hAnsi="Arial" w:cs="Arial"/>
          <w:sz w:val="22"/>
        </w:rPr>
        <w:t xml:space="preserve"> go beyond health and health care per se. </w:t>
      </w:r>
    </w:p>
    <w:p w14:paraId="36435D03" w14:textId="0B05EF43" w:rsidR="00896C8C" w:rsidRPr="00093C31" w:rsidRDefault="00896C8C" w:rsidP="00896C8C">
      <w:pPr>
        <w:spacing w:after="120"/>
        <w:jc w:val="both"/>
        <w:rPr>
          <w:rFonts w:ascii="Arial" w:hAnsi="Arial" w:cs="Arial"/>
          <w:sz w:val="22"/>
        </w:rPr>
      </w:pPr>
      <w:r w:rsidRPr="00093C31">
        <w:rPr>
          <w:rFonts w:ascii="Arial" w:hAnsi="Arial" w:cs="Arial"/>
          <w:sz w:val="22"/>
        </w:rPr>
        <w:t xml:space="preserve">WHO provides guidelines </w:t>
      </w:r>
      <w:r w:rsidRPr="00093C31">
        <w:rPr>
          <w:rFonts w:ascii="Arial" w:hAnsi="Arial" w:cs="Arial"/>
          <w:sz w:val="22"/>
          <w:szCs w:val="22"/>
        </w:rPr>
        <w:t>for monitoring and measuring</w:t>
      </w:r>
      <w:r w:rsidRPr="00093C31">
        <w:rPr>
          <w:rFonts w:ascii="Arial" w:hAnsi="Arial" w:cs="Arial"/>
          <w:sz w:val="22"/>
        </w:rPr>
        <w:t xml:space="preserve"> UHC </w:t>
      </w:r>
      <w:r w:rsidRPr="00093C31">
        <w:rPr>
          <w:rFonts w:ascii="Arial" w:hAnsi="Arial" w:cs="Arial"/>
          <w:sz w:val="22"/>
          <w:szCs w:val="22"/>
        </w:rPr>
        <w:t xml:space="preserve">and, </w:t>
      </w:r>
      <w:r w:rsidRPr="00093C31">
        <w:rPr>
          <w:rFonts w:ascii="Arial" w:hAnsi="Arial" w:cs="Arial"/>
          <w:sz w:val="22"/>
        </w:rPr>
        <w:t>in collaboration with the World Bank</w:t>
      </w:r>
      <w:r w:rsidRPr="00093C31">
        <w:rPr>
          <w:rFonts w:ascii="Arial" w:hAnsi="Arial" w:cs="Arial"/>
          <w:sz w:val="22"/>
          <w:szCs w:val="22"/>
        </w:rPr>
        <w:t>,</w:t>
      </w:r>
      <w:r w:rsidRPr="00093C31">
        <w:rPr>
          <w:rFonts w:ascii="Arial" w:hAnsi="Arial" w:cs="Arial"/>
          <w:sz w:val="22"/>
        </w:rPr>
        <w:t xml:space="preserve"> has</w:t>
      </w:r>
      <w:r w:rsidR="00F271FA" w:rsidRPr="00F271FA">
        <w:rPr>
          <w:rFonts w:ascii="Arial" w:eastAsia="MS Mincho" w:hAnsi="Arial" w:cs="Arial"/>
          <w:sz w:val="22"/>
          <w:szCs w:val="22"/>
          <w:lang w:val="en-GB"/>
        </w:rPr>
        <w:t xml:space="preserve"> </w:t>
      </w:r>
      <w:r w:rsidR="00F271FA" w:rsidRPr="00F271FA">
        <w:rPr>
          <w:rFonts w:ascii="Arial" w:hAnsi="Arial" w:cs="Arial"/>
          <w:sz w:val="22"/>
          <w:lang w:val="en-GB"/>
        </w:rPr>
        <w:t xml:space="preserve">published </w:t>
      </w:r>
      <w:hyperlink r:id="rId8" w:history="1">
        <w:r w:rsidR="00F271FA" w:rsidRPr="00F271FA">
          <w:rPr>
            <w:rStyle w:val="Hyperlink"/>
            <w:rFonts w:ascii="Arial" w:hAnsi="Arial" w:cs="Arial"/>
            <w:sz w:val="22"/>
            <w:lang w:val="en-GB"/>
          </w:rPr>
          <w:t>a framework for tracking progress towards UHC</w:t>
        </w:r>
      </w:hyperlink>
      <w:r w:rsidR="00786CC4">
        <w:rPr>
          <w:rFonts w:ascii="Arial" w:hAnsi="Arial" w:cs="Arial"/>
          <w:sz w:val="22"/>
          <w:szCs w:val="22"/>
        </w:rPr>
        <w:t xml:space="preserve">, with global </w:t>
      </w:r>
      <w:r w:rsidR="00754889">
        <w:rPr>
          <w:rFonts w:ascii="Arial" w:hAnsi="Arial" w:cs="Arial"/>
          <w:sz w:val="22"/>
          <w:szCs w:val="22"/>
        </w:rPr>
        <w:t xml:space="preserve">UHC </w:t>
      </w:r>
      <w:r w:rsidR="00786CC4">
        <w:rPr>
          <w:rFonts w:ascii="Arial" w:hAnsi="Arial" w:cs="Arial"/>
          <w:sz w:val="22"/>
          <w:szCs w:val="22"/>
        </w:rPr>
        <w:t>monitoring reports</w:t>
      </w:r>
      <w:r w:rsidR="00754889">
        <w:rPr>
          <w:rFonts w:ascii="Arial" w:hAnsi="Arial" w:cs="Arial"/>
          <w:sz w:val="22"/>
          <w:szCs w:val="22"/>
        </w:rPr>
        <w:t xml:space="preserve"> released </w:t>
      </w:r>
      <w:r w:rsidR="001D058B">
        <w:rPr>
          <w:rFonts w:ascii="Arial" w:hAnsi="Arial" w:cs="Arial"/>
          <w:sz w:val="22"/>
          <w:szCs w:val="22"/>
        </w:rPr>
        <w:t>biannually.</w:t>
      </w:r>
      <w:bookmarkStart w:id="1" w:name="_GoBack"/>
      <w:bookmarkEnd w:id="1"/>
      <w:r w:rsidR="00786CC4">
        <w:rPr>
          <w:rFonts w:ascii="Arial" w:hAnsi="Arial" w:cs="Arial"/>
          <w:sz w:val="22"/>
          <w:szCs w:val="22"/>
        </w:rPr>
        <w:t xml:space="preserve"> </w:t>
      </w:r>
      <w:r w:rsidRPr="00093C31">
        <w:rPr>
          <w:rFonts w:ascii="Arial" w:hAnsi="Arial" w:cs="Arial"/>
          <w:sz w:val="22"/>
        </w:rPr>
        <w:t xml:space="preserve">The two </w:t>
      </w:r>
      <w:r w:rsidRPr="00093C31">
        <w:rPr>
          <w:rFonts w:ascii="Arial" w:hAnsi="Arial" w:cs="Arial"/>
          <w:sz w:val="22"/>
          <w:szCs w:val="22"/>
        </w:rPr>
        <w:t>main</w:t>
      </w:r>
      <w:r w:rsidRPr="00093C31">
        <w:rPr>
          <w:rFonts w:ascii="Arial" w:hAnsi="Arial" w:cs="Arial"/>
          <w:sz w:val="22"/>
        </w:rPr>
        <w:t xml:space="preserve"> indicators </w:t>
      </w:r>
      <w:r w:rsidRPr="00093C31">
        <w:rPr>
          <w:rFonts w:ascii="Arial" w:hAnsi="Arial" w:cs="Arial"/>
          <w:sz w:val="22"/>
          <w:szCs w:val="22"/>
        </w:rPr>
        <w:t>in the</w:t>
      </w:r>
      <w:r w:rsidRPr="00093C31">
        <w:rPr>
          <w:rFonts w:ascii="Arial" w:hAnsi="Arial" w:cs="Arial"/>
          <w:sz w:val="22"/>
        </w:rPr>
        <w:t xml:space="preserve"> framework are:</w:t>
      </w:r>
    </w:p>
    <w:p w14:paraId="51541DB8" w14:textId="77777777" w:rsidR="00896C8C" w:rsidRPr="00093C31" w:rsidRDefault="00896C8C" w:rsidP="00896C8C">
      <w:pPr>
        <w:numPr>
          <w:ilvl w:val="0"/>
          <w:numId w:val="20"/>
        </w:numPr>
        <w:ind w:left="426" w:hanging="284"/>
        <w:jc w:val="both"/>
        <w:rPr>
          <w:rFonts w:ascii="Arial" w:hAnsi="Arial" w:cs="Arial"/>
          <w:sz w:val="22"/>
        </w:rPr>
      </w:pPr>
      <w:r w:rsidRPr="00093C31">
        <w:rPr>
          <w:rFonts w:ascii="Arial" w:hAnsi="Arial" w:cs="Arial"/>
          <w:sz w:val="22"/>
          <w:szCs w:val="22"/>
        </w:rPr>
        <w:t>the</w:t>
      </w:r>
      <w:r w:rsidRPr="00093C31">
        <w:rPr>
          <w:rFonts w:ascii="Arial" w:hAnsi="Arial" w:cs="Arial"/>
          <w:sz w:val="22"/>
        </w:rPr>
        <w:t xml:space="preserve"> proportion of the population that can access essential</w:t>
      </w:r>
      <w:r w:rsidRPr="00093C31">
        <w:rPr>
          <w:rFonts w:ascii="Arial" w:hAnsi="Arial" w:cs="Arial"/>
          <w:sz w:val="22"/>
          <w:szCs w:val="22"/>
        </w:rPr>
        <w:t>, high-</w:t>
      </w:r>
      <w:r w:rsidRPr="00093C31">
        <w:rPr>
          <w:rFonts w:ascii="Arial" w:hAnsi="Arial" w:cs="Arial"/>
          <w:sz w:val="22"/>
        </w:rPr>
        <w:t>quality health services</w:t>
      </w:r>
      <w:r w:rsidRPr="00093C31">
        <w:rPr>
          <w:rFonts w:ascii="Arial" w:hAnsi="Arial" w:cs="Arial"/>
          <w:sz w:val="22"/>
          <w:szCs w:val="22"/>
        </w:rPr>
        <w:t>; and</w:t>
      </w:r>
    </w:p>
    <w:p w14:paraId="23050FAF" w14:textId="77777777" w:rsidR="00896C8C" w:rsidRPr="00093C31" w:rsidRDefault="00896C8C" w:rsidP="00896C8C">
      <w:pPr>
        <w:numPr>
          <w:ilvl w:val="0"/>
          <w:numId w:val="20"/>
        </w:numPr>
        <w:spacing w:after="120"/>
        <w:ind w:left="426" w:hanging="284"/>
        <w:jc w:val="both"/>
        <w:rPr>
          <w:rFonts w:ascii="Arial" w:hAnsi="Arial" w:cs="Arial"/>
          <w:sz w:val="22"/>
        </w:rPr>
      </w:pPr>
      <w:r w:rsidRPr="00093C31">
        <w:rPr>
          <w:rFonts w:ascii="Arial" w:hAnsi="Arial" w:cs="Arial"/>
          <w:sz w:val="22"/>
          <w:szCs w:val="22"/>
        </w:rPr>
        <w:t>the</w:t>
      </w:r>
      <w:r w:rsidRPr="00093C31">
        <w:rPr>
          <w:rFonts w:ascii="Arial" w:hAnsi="Arial" w:cs="Arial"/>
          <w:sz w:val="22"/>
        </w:rPr>
        <w:t xml:space="preserve"> proportion of the population that spends a large amount of household income on health. </w:t>
      </w:r>
    </w:p>
    <w:p w14:paraId="14377F5F" w14:textId="77777777" w:rsidR="00896C8C" w:rsidRPr="00093C31" w:rsidRDefault="00896C8C" w:rsidP="00896C8C">
      <w:pPr>
        <w:spacing w:after="120"/>
        <w:jc w:val="both"/>
        <w:rPr>
          <w:rFonts w:ascii="Arial" w:hAnsi="Arial" w:cs="Arial"/>
          <w:sz w:val="22"/>
        </w:rPr>
      </w:pPr>
      <w:r w:rsidRPr="00093C31">
        <w:rPr>
          <w:rFonts w:ascii="Arial" w:hAnsi="Arial" w:cs="Arial"/>
          <w:sz w:val="22"/>
          <w:szCs w:val="22"/>
        </w:rPr>
        <w:t xml:space="preserve">The </w:t>
      </w:r>
      <w:r w:rsidRPr="00093C31">
        <w:rPr>
          <w:rFonts w:ascii="Arial" w:hAnsi="Arial" w:cs="Arial"/>
          <w:sz w:val="22"/>
        </w:rPr>
        <w:t xml:space="preserve">framework </w:t>
      </w:r>
      <w:r w:rsidRPr="00093C31">
        <w:rPr>
          <w:rFonts w:ascii="Arial" w:hAnsi="Arial" w:cs="Arial"/>
          <w:sz w:val="22"/>
          <w:szCs w:val="22"/>
        </w:rPr>
        <w:t>cites</w:t>
      </w:r>
      <w:r w:rsidRPr="00093C31">
        <w:rPr>
          <w:rFonts w:ascii="Arial" w:hAnsi="Arial" w:cs="Arial"/>
          <w:sz w:val="22"/>
        </w:rPr>
        <w:t xml:space="preserve"> WHO’s 16 essential health services as indicators of equity and coverage, </w:t>
      </w:r>
      <w:r w:rsidRPr="00093C31">
        <w:rPr>
          <w:rFonts w:ascii="Arial" w:hAnsi="Arial" w:cs="Arial"/>
          <w:sz w:val="22"/>
          <w:szCs w:val="22"/>
        </w:rPr>
        <w:t>which are</w:t>
      </w:r>
      <w:r w:rsidRPr="00093C31">
        <w:rPr>
          <w:rFonts w:ascii="Arial" w:hAnsi="Arial" w:cs="Arial"/>
          <w:sz w:val="22"/>
        </w:rPr>
        <w:t xml:space="preserve"> a good </w:t>
      </w:r>
      <w:r w:rsidRPr="00093C31">
        <w:rPr>
          <w:rFonts w:ascii="Arial" w:hAnsi="Arial" w:cs="Arial"/>
          <w:sz w:val="22"/>
          <w:szCs w:val="22"/>
        </w:rPr>
        <w:t>start for</w:t>
      </w:r>
      <w:r w:rsidRPr="00093C31">
        <w:rPr>
          <w:rFonts w:ascii="Arial" w:hAnsi="Arial" w:cs="Arial"/>
          <w:sz w:val="22"/>
        </w:rPr>
        <w:t xml:space="preserve"> tracking </w:t>
      </w:r>
      <w:r w:rsidRPr="00093C31">
        <w:rPr>
          <w:rFonts w:ascii="Arial" w:hAnsi="Arial" w:cs="Arial"/>
          <w:sz w:val="22"/>
          <w:szCs w:val="22"/>
        </w:rPr>
        <w:t>advances</w:t>
      </w:r>
      <w:r w:rsidRPr="00093C31">
        <w:rPr>
          <w:rFonts w:ascii="Arial" w:hAnsi="Arial" w:cs="Arial"/>
          <w:sz w:val="22"/>
        </w:rPr>
        <w:t xml:space="preserve"> towards UHC. </w:t>
      </w:r>
      <w:r w:rsidRPr="00093C31">
        <w:rPr>
          <w:rFonts w:ascii="Arial" w:hAnsi="Arial" w:cs="Arial"/>
          <w:sz w:val="22"/>
          <w:szCs w:val="22"/>
        </w:rPr>
        <w:t>They</w:t>
      </w:r>
      <w:r w:rsidRPr="00093C31">
        <w:rPr>
          <w:rFonts w:ascii="Arial" w:hAnsi="Arial" w:cs="Arial"/>
          <w:sz w:val="22"/>
        </w:rPr>
        <w:t xml:space="preserve"> are also a good </w:t>
      </w:r>
      <w:r w:rsidRPr="00093C31">
        <w:rPr>
          <w:rFonts w:ascii="Arial" w:hAnsi="Arial" w:cs="Arial"/>
          <w:sz w:val="22"/>
          <w:szCs w:val="22"/>
        </w:rPr>
        <w:t>start for analysing</w:t>
      </w:r>
      <w:r w:rsidRPr="00093C31">
        <w:rPr>
          <w:rFonts w:ascii="Arial" w:hAnsi="Arial" w:cs="Arial"/>
          <w:sz w:val="22"/>
        </w:rPr>
        <w:t xml:space="preserve"> public policies and budgets related to UHC</w:t>
      </w:r>
      <w:r w:rsidRPr="00093C31">
        <w:rPr>
          <w:rFonts w:ascii="Arial" w:hAnsi="Arial" w:cs="Arial"/>
          <w:sz w:val="22"/>
          <w:szCs w:val="22"/>
        </w:rPr>
        <w:t>:</w:t>
      </w:r>
    </w:p>
    <w:p w14:paraId="301E2E56" w14:textId="77777777" w:rsidR="00896C8C" w:rsidRPr="00093C31" w:rsidRDefault="00896C8C" w:rsidP="00896C8C">
      <w:pPr>
        <w:jc w:val="both"/>
        <w:rPr>
          <w:rFonts w:ascii="Arial" w:hAnsi="Arial" w:cs="Arial"/>
          <w:sz w:val="22"/>
        </w:rPr>
      </w:pPr>
      <w:r w:rsidRPr="00093C31">
        <w:rPr>
          <w:rFonts w:ascii="Arial" w:hAnsi="Arial" w:cs="Arial"/>
          <w:sz w:val="22"/>
        </w:rPr>
        <w:t>Reproductive, maternal, newborn and child health:</w:t>
      </w:r>
    </w:p>
    <w:p w14:paraId="10E47662" w14:textId="77777777" w:rsidR="00896C8C" w:rsidRPr="00093C31" w:rsidRDefault="00896C8C" w:rsidP="00896C8C">
      <w:pPr>
        <w:numPr>
          <w:ilvl w:val="0"/>
          <w:numId w:val="15"/>
        </w:numPr>
        <w:tabs>
          <w:tab w:val="clear" w:pos="720"/>
        </w:tabs>
        <w:ind w:left="426" w:hanging="284"/>
        <w:jc w:val="both"/>
        <w:rPr>
          <w:rFonts w:ascii="Arial" w:hAnsi="Arial" w:cs="Arial"/>
          <w:sz w:val="22"/>
        </w:rPr>
      </w:pPr>
      <w:r w:rsidRPr="00093C31">
        <w:rPr>
          <w:rFonts w:ascii="Arial" w:hAnsi="Arial" w:cs="Arial"/>
          <w:sz w:val="22"/>
          <w:szCs w:val="22"/>
        </w:rPr>
        <w:lastRenderedPageBreak/>
        <w:t>family</w:t>
      </w:r>
      <w:r w:rsidRPr="00093C31">
        <w:rPr>
          <w:rFonts w:ascii="Arial" w:hAnsi="Arial" w:cs="Arial"/>
          <w:sz w:val="22"/>
        </w:rPr>
        <w:t xml:space="preserve"> planning</w:t>
      </w:r>
    </w:p>
    <w:p w14:paraId="279E389D" w14:textId="77777777" w:rsidR="00896C8C" w:rsidRPr="00093C31" w:rsidRDefault="00896C8C" w:rsidP="00896C8C">
      <w:pPr>
        <w:numPr>
          <w:ilvl w:val="0"/>
          <w:numId w:val="15"/>
        </w:numPr>
        <w:tabs>
          <w:tab w:val="clear" w:pos="720"/>
        </w:tabs>
        <w:ind w:left="426" w:hanging="284"/>
        <w:jc w:val="both"/>
        <w:rPr>
          <w:rFonts w:ascii="Arial" w:hAnsi="Arial" w:cs="Arial"/>
          <w:sz w:val="22"/>
        </w:rPr>
      </w:pPr>
      <w:r w:rsidRPr="00093C31">
        <w:rPr>
          <w:rFonts w:ascii="Arial" w:hAnsi="Arial" w:cs="Arial"/>
          <w:sz w:val="22"/>
          <w:szCs w:val="22"/>
        </w:rPr>
        <w:t>antenatal</w:t>
      </w:r>
      <w:r w:rsidRPr="00093C31">
        <w:rPr>
          <w:rFonts w:ascii="Arial" w:hAnsi="Arial" w:cs="Arial"/>
          <w:sz w:val="22"/>
        </w:rPr>
        <w:t xml:space="preserve"> and delivery care</w:t>
      </w:r>
    </w:p>
    <w:p w14:paraId="7BEE9C8C" w14:textId="77777777" w:rsidR="00896C8C" w:rsidRPr="00093C31" w:rsidRDefault="00896C8C" w:rsidP="00896C8C">
      <w:pPr>
        <w:numPr>
          <w:ilvl w:val="0"/>
          <w:numId w:val="15"/>
        </w:numPr>
        <w:tabs>
          <w:tab w:val="clear" w:pos="720"/>
        </w:tabs>
        <w:ind w:left="426" w:hanging="284"/>
        <w:jc w:val="both"/>
        <w:rPr>
          <w:rFonts w:ascii="Arial" w:hAnsi="Arial" w:cs="Arial"/>
          <w:sz w:val="22"/>
        </w:rPr>
      </w:pPr>
      <w:r w:rsidRPr="00093C31">
        <w:rPr>
          <w:rFonts w:ascii="Arial" w:hAnsi="Arial" w:cs="Arial"/>
          <w:sz w:val="22"/>
          <w:szCs w:val="22"/>
        </w:rPr>
        <w:t>full</w:t>
      </w:r>
      <w:r w:rsidRPr="00093C31">
        <w:rPr>
          <w:rFonts w:ascii="Arial" w:hAnsi="Arial" w:cs="Arial"/>
          <w:sz w:val="22"/>
        </w:rPr>
        <w:t xml:space="preserve"> child immunization</w:t>
      </w:r>
    </w:p>
    <w:p w14:paraId="0BF8ABEF" w14:textId="77777777" w:rsidR="00896C8C" w:rsidRPr="00093C31" w:rsidRDefault="00896C8C" w:rsidP="00896C8C">
      <w:pPr>
        <w:numPr>
          <w:ilvl w:val="0"/>
          <w:numId w:val="15"/>
        </w:numPr>
        <w:tabs>
          <w:tab w:val="clear" w:pos="720"/>
        </w:tabs>
        <w:ind w:left="426" w:hanging="284"/>
        <w:jc w:val="both"/>
        <w:rPr>
          <w:rFonts w:ascii="Arial" w:hAnsi="Arial" w:cs="Arial"/>
          <w:sz w:val="22"/>
        </w:rPr>
      </w:pPr>
      <w:r w:rsidRPr="00093C31">
        <w:rPr>
          <w:rFonts w:ascii="Arial" w:hAnsi="Arial" w:cs="Arial"/>
          <w:sz w:val="22"/>
          <w:szCs w:val="22"/>
        </w:rPr>
        <w:t>health</w:t>
      </w:r>
      <w:r w:rsidRPr="00093C31">
        <w:rPr>
          <w:rFonts w:ascii="Arial" w:hAnsi="Arial" w:cs="Arial"/>
          <w:sz w:val="22"/>
        </w:rPr>
        <w:t xml:space="preserve">-seeking </w:t>
      </w:r>
      <w:r w:rsidRPr="00093C31">
        <w:rPr>
          <w:rFonts w:ascii="Arial" w:hAnsi="Arial" w:cs="Arial"/>
          <w:sz w:val="22"/>
          <w:szCs w:val="22"/>
        </w:rPr>
        <w:t>behaviour</w:t>
      </w:r>
      <w:r w:rsidRPr="00093C31">
        <w:rPr>
          <w:rFonts w:ascii="Arial" w:hAnsi="Arial" w:cs="Arial"/>
          <w:sz w:val="22"/>
        </w:rPr>
        <w:t xml:space="preserve"> for pneumonia.</w:t>
      </w:r>
    </w:p>
    <w:p w14:paraId="5DE8BA14" w14:textId="77777777" w:rsidR="00896C8C" w:rsidRPr="00093C31" w:rsidRDefault="00896C8C" w:rsidP="00896C8C">
      <w:pPr>
        <w:jc w:val="both"/>
        <w:rPr>
          <w:rFonts w:ascii="Arial" w:hAnsi="Arial" w:cs="Arial"/>
          <w:sz w:val="22"/>
        </w:rPr>
      </w:pPr>
      <w:r w:rsidRPr="00093C31">
        <w:rPr>
          <w:rFonts w:ascii="Arial" w:hAnsi="Arial" w:cs="Arial"/>
          <w:sz w:val="22"/>
        </w:rPr>
        <w:t>Infectious diseases:</w:t>
      </w:r>
    </w:p>
    <w:p w14:paraId="44376B54" w14:textId="77777777" w:rsidR="00896C8C" w:rsidRPr="00093C31" w:rsidRDefault="00896C8C" w:rsidP="00896C8C">
      <w:pPr>
        <w:numPr>
          <w:ilvl w:val="0"/>
          <w:numId w:val="16"/>
        </w:numPr>
        <w:tabs>
          <w:tab w:val="clear" w:pos="720"/>
        </w:tabs>
        <w:ind w:left="426" w:hanging="284"/>
        <w:jc w:val="both"/>
        <w:rPr>
          <w:rFonts w:ascii="Arial" w:hAnsi="Arial" w:cs="Arial"/>
          <w:sz w:val="22"/>
        </w:rPr>
      </w:pPr>
      <w:r w:rsidRPr="00093C31">
        <w:rPr>
          <w:rFonts w:ascii="Arial" w:hAnsi="Arial" w:cs="Arial"/>
          <w:sz w:val="22"/>
          <w:szCs w:val="22"/>
        </w:rPr>
        <w:t>tuberculosis</w:t>
      </w:r>
      <w:r w:rsidRPr="00093C31">
        <w:rPr>
          <w:rFonts w:ascii="Arial" w:hAnsi="Arial" w:cs="Arial"/>
          <w:sz w:val="22"/>
        </w:rPr>
        <w:t xml:space="preserve"> treatment</w:t>
      </w:r>
    </w:p>
    <w:p w14:paraId="1D1D5C18" w14:textId="77777777" w:rsidR="00896C8C" w:rsidRPr="00093C31" w:rsidRDefault="00896C8C" w:rsidP="00896C8C">
      <w:pPr>
        <w:numPr>
          <w:ilvl w:val="0"/>
          <w:numId w:val="16"/>
        </w:numPr>
        <w:tabs>
          <w:tab w:val="clear" w:pos="720"/>
        </w:tabs>
        <w:ind w:left="426" w:hanging="284"/>
        <w:jc w:val="both"/>
        <w:rPr>
          <w:rFonts w:ascii="Arial" w:hAnsi="Arial" w:cs="Arial"/>
          <w:sz w:val="22"/>
        </w:rPr>
      </w:pPr>
      <w:r w:rsidRPr="00093C31">
        <w:rPr>
          <w:rFonts w:ascii="Arial" w:hAnsi="Arial" w:cs="Arial"/>
          <w:sz w:val="22"/>
        </w:rPr>
        <w:t>HIV antiretroviral treatment</w:t>
      </w:r>
    </w:p>
    <w:p w14:paraId="0A62D1C0" w14:textId="77777777" w:rsidR="00896C8C" w:rsidRPr="00093C31" w:rsidRDefault="00896C8C" w:rsidP="00896C8C">
      <w:pPr>
        <w:numPr>
          <w:ilvl w:val="0"/>
          <w:numId w:val="16"/>
        </w:numPr>
        <w:tabs>
          <w:tab w:val="clear" w:pos="720"/>
        </w:tabs>
        <w:ind w:left="426" w:hanging="284"/>
        <w:jc w:val="both"/>
        <w:rPr>
          <w:rFonts w:ascii="Arial" w:hAnsi="Arial" w:cs="Arial"/>
          <w:sz w:val="22"/>
        </w:rPr>
      </w:pPr>
      <w:r w:rsidRPr="00093C31">
        <w:rPr>
          <w:rFonts w:ascii="Arial" w:hAnsi="Arial" w:cs="Arial"/>
          <w:sz w:val="22"/>
          <w:szCs w:val="22"/>
        </w:rPr>
        <w:t>hepatitis</w:t>
      </w:r>
      <w:r w:rsidRPr="00093C31">
        <w:rPr>
          <w:rFonts w:ascii="Arial" w:hAnsi="Arial" w:cs="Arial"/>
          <w:sz w:val="22"/>
        </w:rPr>
        <w:t xml:space="preserve"> treatment</w:t>
      </w:r>
    </w:p>
    <w:p w14:paraId="0C155BBD" w14:textId="77777777" w:rsidR="00896C8C" w:rsidRPr="00093C31" w:rsidRDefault="00896C8C" w:rsidP="00896C8C">
      <w:pPr>
        <w:numPr>
          <w:ilvl w:val="0"/>
          <w:numId w:val="16"/>
        </w:numPr>
        <w:tabs>
          <w:tab w:val="clear" w:pos="720"/>
        </w:tabs>
        <w:ind w:left="426" w:hanging="284"/>
        <w:jc w:val="both"/>
        <w:rPr>
          <w:rFonts w:ascii="Arial" w:hAnsi="Arial" w:cs="Arial"/>
          <w:sz w:val="22"/>
        </w:rPr>
      </w:pPr>
      <w:r w:rsidRPr="00093C31">
        <w:rPr>
          <w:rFonts w:ascii="Arial" w:hAnsi="Arial" w:cs="Arial"/>
          <w:sz w:val="22"/>
          <w:szCs w:val="22"/>
        </w:rPr>
        <w:t>use</w:t>
      </w:r>
      <w:r w:rsidRPr="00093C31">
        <w:rPr>
          <w:rFonts w:ascii="Arial" w:hAnsi="Arial" w:cs="Arial"/>
          <w:sz w:val="22"/>
        </w:rPr>
        <w:t xml:space="preserve"> of insecticide-treated bed nets for malaria prevention</w:t>
      </w:r>
    </w:p>
    <w:p w14:paraId="2A6D22D9" w14:textId="77777777" w:rsidR="00896C8C" w:rsidRPr="00093C31" w:rsidRDefault="00896C8C" w:rsidP="00896C8C">
      <w:pPr>
        <w:numPr>
          <w:ilvl w:val="0"/>
          <w:numId w:val="16"/>
        </w:numPr>
        <w:tabs>
          <w:tab w:val="clear" w:pos="720"/>
        </w:tabs>
        <w:ind w:left="426" w:hanging="284"/>
        <w:jc w:val="both"/>
        <w:rPr>
          <w:rFonts w:ascii="Arial" w:hAnsi="Arial" w:cs="Arial"/>
          <w:sz w:val="22"/>
        </w:rPr>
      </w:pPr>
      <w:r w:rsidRPr="00093C31">
        <w:rPr>
          <w:rFonts w:ascii="Arial" w:hAnsi="Arial" w:cs="Arial"/>
          <w:sz w:val="22"/>
          <w:szCs w:val="22"/>
        </w:rPr>
        <w:t>adequate</w:t>
      </w:r>
      <w:r w:rsidRPr="00093C31">
        <w:rPr>
          <w:rFonts w:ascii="Arial" w:hAnsi="Arial" w:cs="Arial"/>
          <w:sz w:val="22"/>
        </w:rPr>
        <w:t xml:space="preserve"> sanitation.</w:t>
      </w:r>
    </w:p>
    <w:p w14:paraId="37DEB9B9" w14:textId="77777777" w:rsidR="00896C8C" w:rsidRPr="00093C31" w:rsidRDefault="00896C8C" w:rsidP="00896C8C">
      <w:pPr>
        <w:jc w:val="both"/>
        <w:rPr>
          <w:rFonts w:ascii="Arial" w:hAnsi="Arial" w:cs="Arial"/>
          <w:sz w:val="22"/>
        </w:rPr>
      </w:pPr>
      <w:r w:rsidRPr="00093C31">
        <w:rPr>
          <w:rFonts w:ascii="Arial" w:hAnsi="Arial" w:cs="Arial"/>
          <w:sz w:val="22"/>
        </w:rPr>
        <w:t>Noncommunicable diseases:</w:t>
      </w:r>
    </w:p>
    <w:p w14:paraId="7687AE58" w14:textId="77777777" w:rsidR="00896C8C" w:rsidRPr="00093C31" w:rsidRDefault="00896C8C" w:rsidP="00896C8C">
      <w:pPr>
        <w:numPr>
          <w:ilvl w:val="0"/>
          <w:numId w:val="17"/>
        </w:numPr>
        <w:tabs>
          <w:tab w:val="clear" w:pos="720"/>
        </w:tabs>
        <w:ind w:left="426" w:hanging="284"/>
        <w:jc w:val="both"/>
        <w:rPr>
          <w:rFonts w:ascii="Arial" w:hAnsi="Arial" w:cs="Arial"/>
          <w:sz w:val="22"/>
        </w:rPr>
      </w:pPr>
      <w:r w:rsidRPr="00093C31">
        <w:rPr>
          <w:rFonts w:ascii="Arial" w:hAnsi="Arial" w:cs="Arial"/>
          <w:sz w:val="22"/>
          <w:szCs w:val="22"/>
        </w:rPr>
        <w:t>prevention</w:t>
      </w:r>
      <w:r w:rsidRPr="00093C31">
        <w:rPr>
          <w:rFonts w:ascii="Arial" w:hAnsi="Arial" w:cs="Arial"/>
          <w:sz w:val="22"/>
        </w:rPr>
        <w:t xml:space="preserve"> and treatment of raised blood pressure</w:t>
      </w:r>
    </w:p>
    <w:p w14:paraId="4E385264" w14:textId="77777777" w:rsidR="00896C8C" w:rsidRPr="00093C31" w:rsidRDefault="00896C8C" w:rsidP="00896C8C">
      <w:pPr>
        <w:numPr>
          <w:ilvl w:val="0"/>
          <w:numId w:val="17"/>
        </w:numPr>
        <w:tabs>
          <w:tab w:val="clear" w:pos="720"/>
        </w:tabs>
        <w:ind w:left="426" w:hanging="284"/>
        <w:jc w:val="both"/>
        <w:rPr>
          <w:rFonts w:ascii="Arial" w:hAnsi="Arial" w:cs="Arial"/>
          <w:sz w:val="22"/>
        </w:rPr>
      </w:pPr>
      <w:r w:rsidRPr="00093C31">
        <w:rPr>
          <w:rFonts w:ascii="Arial" w:hAnsi="Arial" w:cs="Arial"/>
          <w:sz w:val="22"/>
          <w:szCs w:val="22"/>
        </w:rPr>
        <w:t>prevention</w:t>
      </w:r>
      <w:r w:rsidRPr="00093C31">
        <w:rPr>
          <w:rFonts w:ascii="Arial" w:hAnsi="Arial" w:cs="Arial"/>
          <w:sz w:val="22"/>
        </w:rPr>
        <w:t xml:space="preserve"> and treatment of raised blood glucose</w:t>
      </w:r>
    </w:p>
    <w:p w14:paraId="61BD99DF" w14:textId="77777777" w:rsidR="00896C8C" w:rsidRPr="00093C31" w:rsidRDefault="00896C8C" w:rsidP="00896C8C">
      <w:pPr>
        <w:numPr>
          <w:ilvl w:val="0"/>
          <w:numId w:val="17"/>
        </w:numPr>
        <w:tabs>
          <w:tab w:val="clear" w:pos="720"/>
        </w:tabs>
        <w:ind w:left="426" w:hanging="284"/>
        <w:jc w:val="both"/>
        <w:rPr>
          <w:rFonts w:ascii="Arial" w:hAnsi="Arial" w:cs="Arial"/>
          <w:sz w:val="22"/>
        </w:rPr>
      </w:pPr>
      <w:r w:rsidRPr="00093C31">
        <w:rPr>
          <w:rFonts w:ascii="Arial" w:hAnsi="Arial" w:cs="Arial"/>
          <w:sz w:val="22"/>
          <w:szCs w:val="22"/>
        </w:rPr>
        <w:t>cervical</w:t>
      </w:r>
      <w:r w:rsidRPr="00093C31">
        <w:rPr>
          <w:rFonts w:ascii="Arial" w:hAnsi="Arial" w:cs="Arial"/>
          <w:sz w:val="22"/>
        </w:rPr>
        <w:t xml:space="preserve"> cancer screening</w:t>
      </w:r>
    </w:p>
    <w:p w14:paraId="41C4EE28" w14:textId="77777777" w:rsidR="00896C8C" w:rsidRPr="00093C31" w:rsidRDefault="00896C8C" w:rsidP="00896C8C">
      <w:pPr>
        <w:numPr>
          <w:ilvl w:val="0"/>
          <w:numId w:val="17"/>
        </w:numPr>
        <w:tabs>
          <w:tab w:val="clear" w:pos="720"/>
        </w:tabs>
        <w:ind w:left="426" w:hanging="284"/>
        <w:jc w:val="both"/>
        <w:rPr>
          <w:rFonts w:ascii="Arial" w:hAnsi="Arial" w:cs="Arial"/>
          <w:sz w:val="22"/>
        </w:rPr>
      </w:pPr>
      <w:r w:rsidRPr="00093C31">
        <w:rPr>
          <w:rFonts w:ascii="Arial" w:hAnsi="Arial" w:cs="Arial"/>
          <w:sz w:val="22"/>
          <w:szCs w:val="22"/>
        </w:rPr>
        <w:t>tobacco</w:t>
      </w:r>
      <w:r w:rsidRPr="00093C31">
        <w:rPr>
          <w:rFonts w:ascii="Arial" w:hAnsi="Arial" w:cs="Arial"/>
          <w:sz w:val="22"/>
        </w:rPr>
        <w:t xml:space="preserve"> (non-) smoking.</w:t>
      </w:r>
    </w:p>
    <w:p w14:paraId="3AF14ED2" w14:textId="77777777" w:rsidR="00896C8C" w:rsidRPr="00093C31" w:rsidRDefault="00896C8C" w:rsidP="00896C8C">
      <w:pPr>
        <w:jc w:val="both"/>
        <w:rPr>
          <w:rFonts w:ascii="Arial" w:hAnsi="Arial" w:cs="Arial"/>
          <w:sz w:val="22"/>
        </w:rPr>
      </w:pPr>
      <w:r w:rsidRPr="00093C31">
        <w:rPr>
          <w:rFonts w:ascii="Arial" w:hAnsi="Arial" w:cs="Arial"/>
          <w:sz w:val="22"/>
        </w:rPr>
        <w:t>Service capacity and access:</w:t>
      </w:r>
    </w:p>
    <w:p w14:paraId="5669A368" w14:textId="77777777" w:rsidR="00896C8C" w:rsidRPr="00093C31" w:rsidRDefault="00896C8C" w:rsidP="00896C8C">
      <w:pPr>
        <w:numPr>
          <w:ilvl w:val="0"/>
          <w:numId w:val="18"/>
        </w:numPr>
        <w:tabs>
          <w:tab w:val="clear" w:pos="720"/>
        </w:tabs>
        <w:ind w:left="426" w:hanging="284"/>
        <w:jc w:val="both"/>
        <w:rPr>
          <w:rFonts w:ascii="Arial" w:hAnsi="Arial" w:cs="Arial"/>
          <w:sz w:val="22"/>
        </w:rPr>
      </w:pPr>
      <w:r w:rsidRPr="00093C31">
        <w:rPr>
          <w:rFonts w:ascii="Arial" w:hAnsi="Arial" w:cs="Arial"/>
          <w:sz w:val="22"/>
          <w:szCs w:val="22"/>
        </w:rPr>
        <w:t>basic</w:t>
      </w:r>
      <w:r w:rsidRPr="00093C31">
        <w:rPr>
          <w:rFonts w:ascii="Arial" w:hAnsi="Arial" w:cs="Arial"/>
          <w:sz w:val="22"/>
        </w:rPr>
        <w:t xml:space="preserve"> hospital access</w:t>
      </w:r>
    </w:p>
    <w:p w14:paraId="2DAEB3CF" w14:textId="77777777" w:rsidR="00896C8C" w:rsidRPr="00093C31" w:rsidRDefault="00896C8C" w:rsidP="00896C8C">
      <w:pPr>
        <w:numPr>
          <w:ilvl w:val="0"/>
          <w:numId w:val="18"/>
        </w:numPr>
        <w:tabs>
          <w:tab w:val="clear" w:pos="720"/>
        </w:tabs>
        <w:ind w:left="426" w:hanging="284"/>
        <w:jc w:val="both"/>
        <w:rPr>
          <w:rFonts w:ascii="Arial" w:hAnsi="Arial" w:cs="Arial"/>
          <w:sz w:val="22"/>
        </w:rPr>
      </w:pPr>
      <w:r w:rsidRPr="00093C31">
        <w:rPr>
          <w:rFonts w:ascii="Arial" w:hAnsi="Arial" w:cs="Arial"/>
          <w:sz w:val="22"/>
          <w:szCs w:val="22"/>
        </w:rPr>
        <w:t>health</w:t>
      </w:r>
      <w:r w:rsidRPr="00093C31">
        <w:rPr>
          <w:rFonts w:ascii="Arial" w:hAnsi="Arial" w:cs="Arial"/>
          <w:sz w:val="22"/>
        </w:rPr>
        <w:t xml:space="preserve"> worker density</w:t>
      </w:r>
    </w:p>
    <w:p w14:paraId="2234DCAD" w14:textId="77777777" w:rsidR="00896C8C" w:rsidRPr="00093C31" w:rsidRDefault="00896C8C" w:rsidP="00896C8C">
      <w:pPr>
        <w:numPr>
          <w:ilvl w:val="0"/>
          <w:numId w:val="18"/>
        </w:numPr>
        <w:tabs>
          <w:tab w:val="clear" w:pos="720"/>
        </w:tabs>
        <w:ind w:left="426" w:hanging="284"/>
        <w:jc w:val="both"/>
        <w:rPr>
          <w:rFonts w:ascii="Arial" w:hAnsi="Arial" w:cs="Arial"/>
          <w:sz w:val="22"/>
        </w:rPr>
      </w:pPr>
      <w:r w:rsidRPr="00093C31">
        <w:rPr>
          <w:rFonts w:ascii="Arial" w:hAnsi="Arial" w:cs="Arial"/>
          <w:sz w:val="22"/>
          <w:szCs w:val="22"/>
        </w:rPr>
        <w:t>access</w:t>
      </w:r>
      <w:r w:rsidRPr="00093C31">
        <w:rPr>
          <w:rFonts w:ascii="Arial" w:hAnsi="Arial" w:cs="Arial"/>
          <w:sz w:val="22"/>
        </w:rPr>
        <w:t xml:space="preserve"> to essential medicines</w:t>
      </w:r>
    </w:p>
    <w:p w14:paraId="61028F78" w14:textId="77777777" w:rsidR="00896C8C" w:rsidRPr="00093C31" w:rsidRDefault="00896C8C" w:rsidP="00896C8C">
      <w:pPr>
        <w:numPr>
          <w:ilvl w:val="0"/>
          <w:numId w:val="18"/>
        </w:numPr>
        <w:tabs>
          <w:tab w:val="clear" w:pos="720"/>
        </w:tabs>
        <w:spacing w:after="120"/>
        <w:ind w:left="426" w:hanging="284"/>
        <w:jc w:val="both"/>
        <w:rPr>
          <w:rFonts w:ascii="Arial" w:hAnsi="Arial" w:cs="Arial"/>
          <w:sz w:val="22"/>
        </w:rPr>
      </w:pPr>
      <w:r w:rsidRPr="00093C31">
        <w:rPr>
          <w:rFonts w:ascii="Arial" w:hAnsi="Arial" w:cs="Arial"/>
          <w:sz w:val="22"/>
          <w:szCs w:val="22"/>
        </w:rPr>
        <w:t>health</w:t>
      </w:r>
      <w:r w:rsidRPr="00093C31">
        <w:rPr>
          <w:rFonts w:ascii="Arial" w:hAnsi="Arial" w:cs="Arial"/>
          <w:sz w:val="22"/>
        </w:rPr>
        <w:t xml:space="preserve"> security: compliance with the International Health Regulations</w:t>
      </w:r>
      <w:r w:rsidRPr="00093C31">
        <w:rPr>
          <w:rFonts w:ascii="Arial" w:hAnsi="Arial" w:cs="Arial"/>
          <w:sz w:val="22"/>
          <w:szCs w:val="22"/>
        </w:rPr>
        <w:t xml:space="preserve"> (2005).</w:t>
      </w:r>
    </w:p>
    <w:p w14:paraId="3A46D865" w14:textId="77777777" w:rsidR="00896C8C" w:rsidRPr="00093C31" w:rsidRDefault="00896C8C" w:rsidP="00896C8C">
      <w:pPr>
        <w:spacing w:after="120"/>
        <w:jc w:val="both"/>
        <w:rPr>
          <w:rFonts w:ascii="Arial" w:hAnsi="Arial" w:cs="Arial"/>
          <w:sz w:val="22"/>
        </w:rPr>
      </w:pPr>
      <w:r w:rsidRPr="00093C31">
        <w:rPr>
          <w:rFonts w:ascii="Arial" w:hAnsi="Arial" w:cs="Arial"/>
          <w:sz w:val="22"/>
        </w:rPr>
        <w:t xml:space="preserve">For more information on the types of policies </w:t>
      </w:r>
      <w:r w:rsidRPr="00093C31">
        <w:rPr>
          <w:rFonts w:ascii="Arial" w:hAnsi="Arial" w:cs="Arial"/>
          <w:sz w:val="22"/>
          <w:szCs w:val="22"/>
        </w:rPr>
        <w:t>related</w:t>
      </w:r>
      <w:r w:rsidRPr="00093C31">
        <w:rPr>
          <w:rFonts w:ascii="Arial" w:hAnsi="Arial" w:cs="Arial"/>
          <w:sz w:val="22"/>
        </w:rPr>
        <w:t xml:space="preserve"> to UHC, refer to </w:t>
      </w:r>
      <w:r w:rsidRPr="00093C31">
        <w:rPr>
          <w:rFonts w:ascii="Arial" w:hAnsi="Arial" w:cs="Arial"/>
          <w:sz w:val="22"/>
          <w:szCs w:val="22"/>
        </w:rPr>
        <w:t>module</w:t>
      </w:r>
      <w:r w:rsidRPr="00093C31">
        <w:rPr>
          <w:rFonts w:ascii="Arial" w:hAnsi="Arial" w:cs="Arial"/>
          <w:sz w:val="22"/>
        </w:rPr>
        <w:t xml:space="preserve"> 1 in this </w:t>
      </w:r>
      <w:r w:rsidRPr="00093C31">
        <w:rPr>
          <w:rFonts w:ascii="Arial" w:hAnsi="Arial" w:cs="Arial"/>
          <w:sz w:val="22"/>
          <w:szCs w:val="22"/>
        </w:rPr>
        <w:t>section</w:t>
      </w:r>
      <w:r w:rsidRPr="00093C31">
        <w:rPr>
          <w:rFonts w:ascii="Arial" w:hAnsi="Arial" w:cs="Arial"/>
          <w:sz w:val="22"/>
        </w:rPr>
        <w:t xml:space="preserve">. </w:t>
      </w:r>
    </w:p>
    <w:p w14:paraId="4684ED17" w14:textId="28A0D435" w:rsidR="00B45B06" w:rsidRPr="009A1B3E" w:rsidRDefault="00B45B06" w:rsidP="00896C8C">
      <w:pPr>
        <w:spacing w:after="120"/>
        <w:jc w:val="both"/>
        <w:rPr>
          <w:rFonts w:ascii="Arial" w:hAnsi="Arial" w:cs="Arial"/>
          <w:sz w:val="22"/>
        </w:rPr>
      </w:pPr>
    </w:p>
    <w:sectPr w:rsidR="00B45B06" w:rsidRPr="009A1B3E" w:rsidSect="00EC272E">
      <w:headerReference w:type="default"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27AA" w14:textId="77777777" w:rsidR="00F42BB7" w:rsidRDefault="00F42BB7" w:rsidP="00EC272E">
      <w:r>
        <w:separator/>
      </w:r>
    </w:p>
  </w:endnote>
  <w:endnote w:type="continuationSeparator" w:id="0">
    <w:p w14:paraId="6469825B" w14:textId="77777777" w:rsidR="00F42BB7" w:rsidRDefault="00F42BB7" w:rsidP="00EC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Body CS)">
    <w:altName w:val="Tahoma"/>
    <w:charset w:val="00"/>
    <w:family w:val="roman"/>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D0F4" w14:textId="77777777" w:rsidR="00600C8D" w:rsidRPr="0086169F" w:rsidRDefault="00600C8D" w:rsidP="00600C8D">
    <w:pPr>
      <w:rPr>
        <w:rFonts w:ascii="Arial" w:hAnsi="Arial" w:cs="Arial"/>
      </w:rPr>
    </w:pPr>
  </w:p>
  <w:p w14:paraId="49F31288" w14:textId="77777777" w:rsidR="00600C8D" w:rsidRDefault="00600C8D" w:rsidP="00600C8D"/>
  <w:tbl>
    <w:tblPr>
      <w:tblStyle w:val="TableGrid"/>
      <w:tblW w:w="0" w:type="auto"/>
      <w:tblBorders>
        <w:top w:val="single" w:sz="4" w:space="0" w:color="0080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3943"/>
    </w:tblGrid>
    <w:tr w:rsidR="00600C8D" w14:paraId="07A00F58" w14:textId="77777777" w:rsidTr="00CE0880">
      <w:tc>
        <w:tcPr>
          <w:tcW w:w="4885" w:type="dxa"/>
        </w:tcPr>
        <w:p w14:paraId="0D1AC8D8" w14:textId="77777777" w:rsidR="00600C8D" w:rsidRPr="00910245" w:rsidRDefault="00600C8D" w:rsidP="00600C8D">
          <w:pPr>
            <w:rPr>
              <w:rFonts w:ascii="Arial" w:eastAsia="MS Gothic" w:hAnsi="Arial" w:cs="Arial"/>
              <w:b/>
              <w:color w:val="008080"/>
              <w:sz w:val="18"/>
              <w:szCs w:val="18"/>
            </w:rPr>
          </w:pPr>
        </w:p>
        <w:p w14:paraId="5797CD5A" w14:textId="77777777" w:rsidR="00600C8D" w:rsidRPr="00910245" w:rsidRDefault="00600C8D" w:rsidP="00600C8D">
          <w:pPr>
            <w:rPr>
              <w:rFonts w:ascii="Arial" w:hAnsi="Arial" w:cs="Arial"/>
              <w:color w:val="008080"/>
              <w:sz w:val="18"/>
              <w:szCs w:val="18"/>
            </w:rPr>
          </w:pPr>
          <w:r w:rsidRPr="00910245">
            <w:rPr>
              <w:rFonts w:ascii="Arial" w:eastAsia="MS Gothic" w:hAnsi="Arial" w:cs="Arial"/>
              <w:b/>
              <w:color w:val="008080"/>
              <w:sz w:val="18"/>
              <w:szCs w:val="18"/>
            </w:rPr>
            <w:t>Chapter 2. Core content for understanding universal health coverage and public budgets for health</w:t>
          </w:r>
        </w:p>
        <w:p w14:paraId="75ADC916" w14:textId="77777777" w:rsidR="00600C8D" w:rsidRPr="00910245" w:rsidRDefault="00600C8D" w:rsidP="00600C8D">
          <w:pPr>
            <w:pStyle w:val="Footer"/>
            <w:rPr>
              <w:rFonts w:ascii="Arial" w:hAnsi="Arial" w:cs="Arial"/>
              <w:b/>
              <w:bCs/>
              <w:color w:val="3CA5DD"/>
              <w:sz w:val="18"/>
              <w:szCs w:val="18"/>
            </w:rPr>
          </w:pPr>
        </w:p>
        <w:p w14:paraId="061411D9" w14:textId="20C0643F" w:rsidR="00600C8D" w:rsidRPr="00910245" w:rsidRDefault="00DB2A7E" w:rsidP="00600C8D">
          <w:pPr>
            <w:pStyle w:val="Footer"/>
            <w:rPr>
              <w:rFonts w:ascii="Arial" w:hAnsi="Arial" w:cs="Arial"/>
              <w:b/>
              <w:bCs/>
              <w:color w:val="3CA5DD"/>
            </w:rPr>
          </w:pPr>
          <w:r w:rsidRPr="00B26630">
            <w:rPr>
              <w:rFonts w:ascii="Arial" w:hAnsi="Arial" w:cs="Arial"/>
              <w:b/>
              <w:bCs/>
              <w:color w:val="3CA5DD"/>
              <w:sz w:val="18"/>
              <w:szCs w:val="18"/>
            </w:rPr>
            <w:t xml:space="preserve">Module 2. Introduction to public financing for health relevant for budget advocacy for universal health coverage </w:t>
          </w:r>
        </w:p>
      </w:tc>
      <w:tc>
        <w:tcPr>
          <w:tcW w:w="3943" w:type="dxa"/>
        </w:tcPr>
        <w:p w14:paraId="4AFD5FD6" w14:textId="77777777" w:rsidR="00600C8D" w:rsidRPr="00910245" w:rsidRDefault="00600C8D" w:rsidP="00D34792">
          <w:pPr>
            <w:rPr>
              <w:rFonts w:ascii="Arial" w:hAnsi="Arial" w:cs="Arial"/>
              <w:b/>
              <w:bCs/>
              <w:color w:val="000000" w:themeColor="text1"/>
              <w:sz w:val="18"/>
              <w:szCs w:val="18"/>
            </w:rPr>
          </w:pPr>
        </w:p>
        <w:p w14:paraId="797138E1" w14:textId="5F07CC48" w:rsidR="00600C8D" w:rsidRPr="00910245" w:rsidRDefault="00DB2A7E" w:rsidP="00D34792">
          <w:pPr>
            <w:rPr>
              <w:rFonts w:ascii="Arial" w:eastAsia="MS Gothic" w:hAnsi="Arial" w:cs="Arial"/>
              <w:b/>
              <w:color w:val="008080"/>
              <w:sz w:val="18"/>
              <w:szCs w:val="18"/>
            </w:rPr>
          </w:pPr>
          <w:r w:rsidRPr="00EA25C0">
            <w:rPr>
              <w:rFonts w:ascii="Arial" w:hAnsi="Arial" w:cs="Arial"/>
              <w:b/>
              <w:bCs/>
              <w:color w:val="000000" w:themeColor="text1"/>
              <w:sz w:val="18"/>
              <w:szCs w:val="18"/>
            </w:rPr>
            <w:t>Section A. Introduction to public policy and its association with budgets in relation to universal health coverage</w:t>
          </w:r>
        </w:p>
      </w:tc>
    </w:tr>
  </w:tbl>
  <w:p w14:paraId="22796356" w14:textId="77777777" w:rsidR="00600C8D" w:rsidRPr="0086169F" w:rsidRDefault="00600C8D" w:rsidP="00600C8D">
    <w:pPr>
      <w:pStyle w:val="Footer"/>
      <w:jc w:val="right"/>
      <w:rPr>
        <w:rFonts w:ascii="Arial" w:hAnsi="Arial" w:cs="Arial"/>
        <w:b/>
        <w:bCs/>
        <w:color w:val="008080"/>
        <w:sz w:val="20"/>
        <w:szCs w:val="20"/>
      </w:rPr>
    </w:pPr>
    <w:r w:rsidRPr="0086169F">
      <w:rPr>
        <w:rFonts w:ascii="Arial" w:hAnsi="Arial" w:cs="Arial"/>
        <w:b/>
        <w:bCs/>
        <w:color w:val="008080"/>
        <w:sz w:val="20"/>
        <w:szCs w:val="20"/>
      </w:rPr>
      <w:fldChar w:fldCharType="begin"/>
    </w:r>
    <w:r w:rsidRPr="0086169F">
      <w:rPr>
        <w:rFonts w:ascii="Arial" w:hAnsi="Arial" w:cs="Arial"/>
        <w:b/>
        <w:bCs/>
        <w:color w:val="008080"/>
        <w:sz w:val="20"/>
        <w:szCs w:val="20"/>
      </w:rPr>
      <w:instrText xml:space="preserve"> PAGE   \* MERGEFORMAT </w:instrText>
    </w:r>
    <w:r w:rsidRPr="0086169F">
      <w:rPr>
        <w:rFonts w:ascii="Arial" w:hAnsi="Arial" w:cs="Arial"/>
        <w:b/>
        <w:bCs/>
        <w:color w:val="008080"/>
        <w:sz w:val="20"/>
        <w:szCs w:val="20"/>
      </w:rPr>
      <w:fldChar w:fldCharType="separate"/>
    </w:r>
    <w:r>
      <w:rPr>
        <w:rFonts w:ascii="Arial" w:hAnsi="Arial" w:cs="Arial"/>
        <w:b/>
        <w:bCs/>
        <w:color w:val="008080"/>
        <w:sz w:val="20"/>
        <w:szCs w:val="20"/>
      </w:rPr>
      <w:t>27</w:t>
    </w:r>
    <w:r w:rsidRPr="0086169F">
      <w:rPr>
        <w:rFonts w:ascii="Arial" w:hAnsi="Arial" w:cs="Arial"/>
        <w:b/>
        <w:bCs/>
        <w:color w:val="008080"/>
        <w:sz w:val="20"/>
        <w:szCs w:val="20"/>
      </w:rPr>
      <w:fldChar w:fldCharType="end"/>
    </w:r>
  </w:p>
  <w:p w14:paraId="53527D5D" w14:textId="53294A66" w:rsidR="00EC272E" w:rsidRDefault="00600C8D" w:rsidP="00600C8D">
    <w:pPr>
      <w:pStyle w:val="Footer"/>
      <w:tabs>
        <w:tab w:val="clear" w:pos="4680"/>
        <w:tab w:val="clear" w:pos="9360"/>
        <w:tab w:val="left" w:pos="1315"/>
      </w:tabs>
      <w:rPr>
        <w:rFonts w:ascii="Arial" w:hAnsi="Arial" w:cs="Arial"/>
      </w:rPr>
    </w:pPr>
    <w:r w:rsidRPr="0086169F">
      <w:rPr>
        <w:rFonts w:ascii="Arial" w:hAnsi="Arial" w:cs="Arial"/>
      </w:rPr>
      <w:tab/>
    </w:r>
  </w:p>
  <w:p w14:paraId="7217FAB3" w14:textId="77777777" w:rsidR="00600C8D" w:rsidRPr="00600C8D" w:rsidRDefault="00600C8D" w:rsidP="00600C8D">
    <w:pPr>
      <w:pStyle w:val="Footer"/>
      <w:tabs>
        <w:tab w:val="clear" w:pos="4680"/>
        <w:tab w:val="clear" w:pos="9360"/>
        <w:tab w:val="left" w:pos="1315"/>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8F2B7" w14:textId="77777777" w:rsidR="00F42BB7" w:rsidRDefault="00F42BB7" w:rsidP="00EC272E">
      <w:r>
        <w:separator/>
      </w:r>
    </w:p>
  </w:footnote>
  <w:footnote w:type="continuationSeparator" w:id="0">
    <w:p w14:paraId="6BF4D74B" w14:textId="77777777" w:rsidR="00F42BB7" w:rsidRDefault="00F42BB7" w:rsidP="00EC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EC272E" w14:paraId="0F635AB7" w14:textId="77777777" w:rsidTr="00CE0880">
      <w:trPr>
        <w:trHeight w:val="1138"/>
      </w:trPr>
      <w:tc>
        <w:tcPr>
          <w:tcW w:w="2694" w:type="dxa"/>
          <w:tcBorders>
            <w:bottom w:val="single" w:sz="4" w:space="0" w:color="00807F"/>
          </w:tcBorders>
        </w:tcPr>
        <w:p w14:paraId="78509BE4" w14:textId="77777777" w:rsidR="00EC272E" w:rsidRDefault="00EC272E" w:rsidP="00EC272E">
          <w:pPr>
            <w:rPr>
              <w:rFonts w:cs="Arial"/>
              <w:b/>
              <w:color w:val="3CA5DD"/>
            </w:rPr>
          </w:pPr>
          <w:r>
            <w:rPr>
              <w:rFonts w:ascii="Arial" w:hAnsi="Arial" w:cs="Arial"/>
              <w:b/>
              <w:noProof/>
              <w:color w:val="008080"/>
              <w:sz w:val="48"/>
              <w:szCs w:val="48"/>
            </w:rPr>
            <w:drawing>
              <wp:anchor distT="0" distB="0" distL="114300" distR="114300" simplePos="0" relativeHeight="251659264" behindDoc="0" locked="0" layoutInCell="1" allowOverlap="1" wp14:anchorId="03848227" wp14:editId="0D81BCCE">
                <wp:simplePos x="0" y="0"/>
                <wp:positionH relativeFrom="column">
                  <wp:posOffset>-18415</wp:posOffset>
                </wp:positionH>
                <wp:positionV relativeFrom="paragraph">
                  <wp:posOffset>483235</wp:posOffset>
                </wp:positionV>
                <wp:extent cx="1102995" cy="312111"/>
                <wp:effectExtent l="0" t="0" r="1905" b="5715"/>
                <wp:wrapNone/>
                <wp:docPr id="34" name="Picture 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995" cy="312111"/>
                        </a:xfrm>
                        <a:prstGeom prst="rect">
                          <a:avLst/>
                        </a:prstGeom>
                      </pic:spPr>
                    </pic:pic>
                  </a:graphicData>
                </a:graphic>
                <wp14:sizeRelH relativeFrom="page">
                  <wp14:pctWidth>0</wp14:pctWidth>
                </wp14:sizeRelH>
                <wp14:sizeRelV relativeFrom="page">
                  <wp14:pctHeight>0</wp14:pctHeight>
                </wp14:sizeRelV>
              </wp:anchor>
            </w:drawing>
          </w:r>
          <w:r w:rsidRPr="001B20F1">
            <w:rPr>
              <w:rFonts w:cs="Arial"/>
              <w:b/>
              <w:noProof/>
              <w:color w:val="008080"/>
              <w:sz w:val="64"/>
              <w:szCs w:val="64"/>
            </w:rPr>
            <w:drawing>
              <wp:inline distT="0" distB="0" distL="0" distR="0" wp14:anchorId="4534EBE0" wp14:editId="1A49BD54">
                <wp:extent cx="1103235" cy="373487"/>
                <wp:effectExtent l="0" t="0" r="1905"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Icon&#10;&#10;Description automatically generated"/>
                        <pic:cNvPicPr/>
                      </pic:nvPicPr>
                      <pic:blipFill>
                        <a:blip r:embed="rId2"/>
                        <a:stretch>
                          <a:fillRect/>
                        </a:stretch>
                      </pic:blipFill>
                      <pic:spPr>
                        <a:xfrm>
                          <a:off x="0" y="0"/>
                          <a:ext cx="1103235" cy="373487"/>
                        </a:xfrm>
                        <a:prstGeom prst="rect">
                          <a:avLst/>
                        </a:prstGeom>
                      </pic:spPr>
                    </pic:pic>
                  </a:graphicData>
                </a:graphic>
              </wp:inline>
            </w:drawing>
          </w:r>
        </w:p>
      </w:tc>
      <w:tc>
        <w:tcPr>
          <w:tcW w:w="6134" w:type="dxa"/>
          <w:tcBorders>
            <w:bottom w:val="single" w:sz="4" w:space="0" w:color="00807F"/>
          </w:tcBorders>
        </w:tcPr>
        <w:p w14:paraId="47796E31" w14:textId="77777777" w:rsidR="00EC272E" w:rsidRDefault="00EC272E" w:rsidP="00EC272E">
          <w:pPr>
            <w:jc w:val="right"/>
            <w:rPr>
              <w:rFonts w:cs="Arial"/>
              <w:b/>
              <w:color w:val="008080"/>
            </w:rPr>
          </w:pPr>
        </w:p>
        <w:p w14:paraId="18852B17" w14:textId="77777777" w:rsidR="00EC272E" w:rsidRPr="006B56E7" w:rsidRDefault="00EC272E" w:rsidP="00EC272E">
          <w:pPr>
            <w:jc w:val="right"/>
            <w:rPr>
              <w:rFonts w:ascii="Arial" w:hAnsi="Arial" w:cs="Arial"/>
              <w:b/>
              <w:color w:val="008080"/>
            </w:rPr>
          </w:pPr>
          <w:r w:rsidRPr="006B56E7">
            <w:rPr>
              <w:rFonts w:ascii="Arial" w:hAnsi="Arial" w:cs="Arial"/>
              <w:b/>
              <w:color w:val="008080"/>
            </w:rPr>
            <w:t xml:space="preserve">Health budget literacy, advocacy and accountability for </w:t>
          </w:r>
          <w:r w:rsidRPr="00EC272E">
            <w:rPr>
              <w:rFonts w:ascii="Arial" w:hAnsi="Arial" w:cs="Arial"/>
              <w:b/>
              <w:color w:val="008080"/>
            </w:rPr>
            <w:t>universal</w:t>
          </w:r>
          <w:r w:rsidRPr="006B56E7">
            <w:rPr>
              <w:rFonts w:ascii="Arial" w:hAnsi="Arial" w:cs="Arial"/>
              <w:b/>
              <w:color w:val="008080"/>
            </w:rPr>
            <w:t xml:space="preserve"> health coverage</w:t>
          </w:r>
        </w:p>
        <w:p w14:paraId="47D2CA4D" w14:textId="77777777" w:rsidR="00EC272E" w:rsidRDefault="00EC272E" w:rsidP="00EC272E">
          <w:pPr>
            <w:jc w:val="right"/>
            <w:rPr>
              <w:rFonts w:ascii="Arial" w:hAnsi="Arial" w:cs="Arial"/>
              <w:b/>
              <w:color w:val="3CA5DD"/>
            </w:rPr>
          </w:pPr>
          <w:r w:rsidRPr="006B56E7">
            <w:rPr>
              <w:rFonts w:ascii="Arial" w:hAnsi="Arial" w:cs="Arial"/>
              <w:b/>
              <w:color w:val="3CA5DD"/>
            </w:rPr>
            <w:t>Toolkit for capacity-building</w:t>
          </w:r>
        </w:p>
        <w:p w14:paraId="7CA7C79B" w14:textId="77777777" w:rsidR="00EC272E" w:rsidRDefault="00EC272E" w:rsidP="00EC272E">
          <w:pPr>
            <w:jc w:val="right"/>
            <w:rPr>
              <w:rFonts w:cs="Arial"/>
              <w:b/>
              <w:color w:val="3CA5DD"/>
            </w:rPr>
          </w:pPr>
        </w:p>
        <w:p w14:paraId="4BA18B21" w14:textId="77777777" w:rsidR="00EC272E" w:rsidRDefault="00EC272E" w:rsidP="00EC272E">
          <w:pPr>
            <w:jc w:val="right"/>
            <w:rPr>
              <w:rFonts w:cs="Arial"/>
              <w:b/>
              <w:color w:val="3CA5DD"/>
            </w:rPr>
          </w:pPr>
        </w:p>
      </w:tc>
    </w:tr>
  </w:tbl>
  <w:p w14:paraId="2D9BFBCB" w14:textId="77777777" w:rsidR="00EC272E" w:rsidRDefault="00EC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F9C"/>
    <w:multiLevelType w:val="multilevel"/>
    <w:tmpl w:val="615223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57FF"/>
    <w:multiLevelType w:val="hybridMultilevel"/>
    <w:tmpl w:val="4524EA68"/>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24461E7"/>
    <w:multiLevelType w:val="hybridMultilevel"/>
    <w:tmpl w:val="312E1E4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24381B"/>
    <w:multiLevelType w:val="hybridMultilevel"/>
    <w:tmpl w:val="28C22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2D43EF"/>
    <w:multiLevelType w:val="hybridMultilevel"/>
    <w:tmpl w:val="E4D45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FF42D7"/>
    <w:multiLevelType w:val="hybridMultilevel"/>
    <w:tmpl w:val="EB941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07780"/>
    <w:multiLevelType w:val="hybridMultilevel"/>
    <w:tmpl w:val="73364980"/>
    <w:lvl w:ilvl="0" w:tplc="E8A22D8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FD63C5"/>
    <w:multiLevelType w:val="hybridMultilevel"/>
    <w:tmpl w:val="B11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F3258"/>
    <w:multiLevelType w:val="hybridMultilevel"/>
    <w:tmpl w:val="2556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661210"/>
    <w:multiLevelType w:val="multilevel"/>
    <w:tmpl w:val="26C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31C8C"/>
    <w:multiLevelType w:val="multilevel"/>
    <w:tmpl w:val="D6A8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73C06"/>
    <w:multiLevelType w:val="hybridMultilevel"/>
    <w:tmpl w:val="07942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86441F"/>
    <w:multiLevelType w:val="multilevel"/>
    <w:tmpl w:val="57BA148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3" w15:restartNumberingAfterBreak="0">
    <w:nsid w:val="52CB02BA"/>
    <w:multiLevelType w:val="hybridMultilevel"/>
    <w:tmpl w:val="996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0685F"/>
    <w:multiLevelType w:val="multilevel"/>
    <w:tmpl w:val="4A6A3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578A1"/>
    <w:multiLevelType w:val="hybridMultilevel"/>
    <w:tmpl w:val="27765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D93F5E"/>
    <w:multiLevelType w:val="hybridMultilevel"/>
    <w:tmpl w:val="4F76C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C3032F"/>
    <w:multiLevelType w:val="hybridMultilevel"/>
    <w:tmpl w:val="238CF9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8BF76B1"/>
    <w:multiLevelType w:val="hybridMultilevel"/>
    <w:tmpl w:val="7082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1321E"/>
    <w:multiLevelType w:val="hybridMultilevel"/>
    <w:tmpl w:val="7B2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19"/>
  </w:num>
  <w:num w:numId="5">
    <w:abstractNumId w:val="11"/>
  </w:num>
  <w:num w:numId="6">
    <w:abstractNumId w:val="12"/>
  </w:num>
  <w:num w:numId="7">
    <w:abstractNumId w:val="7"/>
  </w:num>
  <w:num w:numId="8">
    <w:abstractNumId w:val="18"/>
  </w:num>
  <w:num w:numId="9">
    <w:abstractNumId w:val="16"/>
  </w:num>
  <w:num w:numId="10">
    <w:abstractNumId w:val="5"/>
  </w:num>
  <w:num w:numId="11">
    <w:abstractNumId w:val="13"/>
  </w:num>
  <w:num w:numId="12">
    <w:abstractNumId w:val="6"/>
  </w:num>
  <w:num w:numId="13">
    <w:abstractNumId w:val="8"/>
  </w:num>
  <w:num w:numId="14">
    <w:abstractNumId w:val="3"/>
  </w:num>
  <w:num w:numId="15">
    <w:abstractNumId w:val="10"/>
  </w:num>
  <w:num w:numId="16">
    <w:abstractNumId w:val="0"/>
  </w:num>
  <w:num w:numId="17">
    <w:abstractNumId w:val="14"/>
  </w:num>
  <w:num w:numId="18">
    <w:abstractNumId w:val="9"/>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2E"/>
    <w:rsid w:val="00042CC5"/>
    <w:rsid w:val="000B1F5F"/>
    <w:rsid w:val="000D5BC0"/>
    <w:rsid w:val="001D058B"/>
    <w:rsid w:val="002D2BE4"/>
    <w:rsid w:val="003268F6"/>
    <w:rsid w:val="003D124A"/>
    <w:rsid w:val="00431272"/>
    <w:rsid w:val="004334AD"/>
    <w:rsid w:val="004A24BB"/>
    <w:rsid w:val="005359DA"/>
    <w:rsid w:val="005C14A4"/>
    <w:rsid w:val="00600C8D"/>
    <w:rsid w:val="007249A2"/>
    <w:rsid w:val="00754889"/>
    <w:rsid w:val="00786CC4"/>
    <w:rsid w:val="007A4CB0"/>
    <w:rsid w:val="007B1413"/>
    <w:rsid w:val="007E23C4"/>
    <w:rsid w:val="008603E3"/>
    <w:rsid w:val="00896C8C"/>
    <w:rsid w:val="00953035"/>
    <w:rsid w:val="009A1B3E"/>
    <w:rsid w:val="00A0194E"/>
    <w:rsid w:val="00A431D5"/>
    <w:rsid w:val="00B45B06"/>
    <w:rsid w:val="00D1217B"/>
    <w:rsid w:val="00D34792"/>
    <w:rsid w:val="00DB2A7E"/>
    <w:rsid w:val="00DC29BE"/>
    <w:rsid w:val="00EA42DB"/>
    <w:rsid w:val="00EC272E"/>
    <w:rsid w:val="00EE5FBC"/>
    <w:rsid w:val="00F271FA"/>
    <w:rsid w:val="00F42BB7"/>
    <w:rsid w:val="00F64B31"/>
  </w:rsids>
  <m:mathPr>
    <m:mathFont m:val="Cambria Math"/>
    <m:brkBin m:val="before"/>
    <m:brkBinSub m:val="--"/>
    <m:smallFrac m:val="0"/>
    <m:dispDef/>
    <m:lMargin m:val="0"/>
    <m:rMargin m:val="0"/>
    <m:defJc m:val="centerGroup"/>
    <m:wrapIndent m:val="1440"/>
    <m:intLim m:val="subSup"/>
    <m:naryLim m:val="undOvr"/>
  </m:mathPr>
  <w:themeFontLang w:val="en-CA"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0ABE3"/>
  <w15:chartTrackingRefBased/>
  <w15:docId w15:val="{0DC45A1E-7372-BC45-9040-348B315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Heading3"/>
    <w:next w:val="Normal"/>
    <w:link w:val="Heading1Char"/>
    <w:uiPriority w:val="9"/>
    <w:qFormat/>
    <w:rsid w:val="00EC272E"/>
    <w:pPr>
      <w:outlineLvl w:val="0"/>
    </w:pPr>
    <w:rPr>
      <w:color w:val="008080"/>
      <w:sz w:val="44"/>
      <w:szCs w:val="44"/>
    </w:rPr>
  </w:style>
  <w:style w:type="paragraph" w:styleId="Heading2">
    <w:name w:val="heading 2"/>
    <w:basedOn w:val="Normal"/>
    <w:next w:val="Normal"/>
    <w:link w:val="Heading2Char"/>
    <w:uiPriority w:val="9"/>
    <w:semiHidden/>
    <w:unhideWhenUsed/>
    <w:qFormat/>
    <w:rsid w:val="00EC27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EC272E"/>
    <w:pPr>
      <w:spacing w:after="120"/>
      <w:jc w:val="both"/>
      <w:outlineLvl w:val="2"/>
    </w:pPr>
    <w:rPr>
      <w:rFonts w:ascii="Arial" w:eastAsia="MS Mincho" w:hAnsi="Arial" w:cs="Arial"/>
      <w:b/>
      <w:color w:val="3CA5DD"/>
      <w:sz w:val="28"/>
      <w:szCs w:val="28"/>
      <w:lang w:val="en-GB"/>
    </w:rPr>
  </w:style>
  <w:style w:type="paragraph" w:styleId="Heading4">
    <w:name w:val="heading 4"/>
    <w:basedOn w:val="Normal"/>
    <w:next w:val="Normal"/>
    <w:link w:val="Heading4Char"/>
    <w:uiPriority w:val="9"/>
    <w:qFormat/>
    <w:rsid w:val="00EC272E"/>
    <w:pPr>
      <w:spacing w:after="120"/>
      <w:jc w:val="both"/>
      <w:outlineLvl w:val="3"/>
    </w:pPr>
    <w:rPr>
      <w:rFonts w:ascii="Arial" w:eastAsia="MS Mincho" w:hAnsi="Arial" w:cs="Arial"/>
      <w:b/>
      <w:iCs/>
      <w:color w:val="3CA5DD"/>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0194E"/>
    <w:pPr>
      <w:tabs>
        <w:tab w:val="left" w:pos="630"/>
        <w:tab w:val="right" w:pos="10070"/>
      </w:tabs>
      <w:spacing w:before="360" w:line="274" w:lineRule="auto"/>
    </w:pPr>
    <w:rPr>
      <w:rFonts w:ascii="Arial" w:hAnsi="Arial" w:cs="Tahoma (Body CS)"/>
      <w:bCs/>
      <w:noProof/>
      <w:color w:val="013147"/>
      <w:sz w:val="28"/>
      <w:lang w:val="en-US"/>
    </w:rPr>
  </w:style>
  <w:style w:type="paragraph" w:styleId="TOC3">
    <w:name w:val="toc 3"/>
    <w:basedOn w:val="Normal"/>
    <w:next w:val="Normal"/>
    <w:autoRedefine/>
    <w:uiPriority w:val="39"/>
    <w:unhideWhenUsed/>
    <w:qFormat/>
    <w:rsid w:val="00A0194E"/>
    <w:pPr>
      <w:spacing w:before="120" w:line="274" w:lineRule="auto"/>
      <w:ind w:left="210"/>
    </w:pPr>
    <w:rPr>
      <w:rFonts w:ascii="Arial" w:hAnsi="Arial"/>
      <w:color w:val="6E9AC7"/>
      <w:sz w:val="20"/>
      <w:szCs w:val="20"/>
      <w:lang w:val="en-US"/>
    </w:rPr>
  </w:style>
  <w:style w:type="paragraph" w:styleId="TOC4">
    <w:name w:val="toc 4"/>
    <w:basedOn w:val="Normal"/>
    <w:next w:val="Normal"/>
    <w:autoRedefine/>
    <w:uiPriority w:val="39"/>
    <w:unhideWhenUsed/>
    <w:qFormat/>
    <w:rsid w:val="00A0194E"/>
    <w:pPr>
      <w:spacing w:before="120" w:line="274" w:lineRule="auto"/>
      <w:ind w:left="420"/>
    </w:pPr>
    <w:rPr>
      <w:rFonts w:ascii="Arial" w:hAnsi="Arial"/>
      <w:color w:val="6E9AC7"/>
      <w:sz w:val="20"/>
      <w:szCs w:val="20"/>
      <w:lang w:val="en-US"/>
    </w:rPr>
  </w:style>
  <w:style w:type="paragraph" w:styleId="TOC5">
    <w:name w:val="toc 5"/>
    <w:basedOn w:val="Normal"/>
    <w:next w:val="Normal"/>
    <w:autoRedefine/>
    <w:uiPriority w:val="39"/>
    <w:unhideWhenUsed/>
    <w:qFormat/>
    <w:rsid w:val="00A0194E"/>
    <w:pPr>
      <w:spacing w:before="120" w:line="274" w:lineRule="auto"/>
      <w:ind w:left="629"/>
    </w:pPr>
    <w:rPr>
      <w:rFonts w:ascii="Arial" w:hAnsi="Arial"/>
      <w:color w:val="6E9AC7"/>
      <w:sz w:val="20"/>
      <w:szCs w:val="20"/>
      <w:lang w:val="en-US"/>
    </w:rPr>
  </w:style>
  <w:style w:type="paragraph" w:styleId="TOC6">
    <w:name w:val="toc 6"/>
    <w:basedOn w:val="Normal"/>
    <w:next w:val="Normal"/>
    <w:autoRedefine/>
    <w:uiPriority w:val="39"/>
    <w:unhideWhenUsed/>
    <w:qFormat/>
    <w:rsid w:val="00A0194E"/>
    <w:pPr>
      <w:spacing w:before="120" w:line="274" w:lineRule="auto"/>
      <w:ind w:left="839"/>
    </w:pPr>
    <w:rPr>
      <w:rFonts w:ascii="Arial" w:hAnsi="Arial"/>
      <w:color w:val="6E9AC7"/>
      <w:sz w:val="20"/>
      <w:szCs w:val="20"/>
      <w:lang w:val="en-US"/>
    </w:rPr>
  </w:style>
  <w:style w:type="paragraph" w:styleId="TOC7">
    <w:name w:val="toc 7"/>
    <w:basedOn w:val="Normal"/>
    <w:next w:val="Normal"/>
    <w:autoRedefine/>
    <w:uiPriority w:val="39"/>
    <w:unhideWhenUsed/>
    <w:qFormat/>
    <w:rsid w:val="00A0194E"/>
    <w:pPr>
      <w:spacing w:before="120" w:line="274" w:lineRule="auto"/>
      <w:ind w:left="1049"/>
    </w:pPr>
    <w:rPr>
      <w:rFonts w:ascii="Arial" w:hAnsi="Arial"/>
      <w:color w:val="6E9AC7"/>
      <w:sz w:val="20"/>
      <w:szCs w:val="20"/>
      <w:lang w:val="en-US"/>
    </w:rPr>
  </w:style>
  <w:style w:type="paragraph" w:styleId="TOC8">
    <w:name w:val="toc 8"/>
    <w:basedOn w:val="Normal"/>
    <w:next w:val="Normal"/>
    <w:autoRedefine/>
    <w:uiPriority w:val="39"/>
    <w:unhideWhenUsed/>
    <w:qFormat/>
    <w:rsid w:val="00A0194E"/>
    <w:pPr>
      <w:spacing w:before="120" w:line="274" w:lineRule="auto"/>
      <w:ind w:left="1259"/>
    </w:pPr>
    <w:rPr>
      <w:rFonts w:ascii="Arial" w:hAnsi="Arial"/>
      <w:color w:val="6E9AC7"/>
      <w:sz w:val="20"/>
      <w:szCs w:val="20"/>
      <w:lang w:val="en-US"/>
    </w:rPr>
  </w:style>
  <w:style w:type="paragraph" w:styleId="TOC9">
    <w:name w:val="toc 9"/>
    <w:basedOn w:val="Normal"/>
    <w:next w:val="Normal"/>
    <w:autoRedefine/>
    <w:uiPriority w:val="39"/>
    <w:unhideWhenUsed/>
    <w:qFormat/>
    <w:rsid w:val="00A0194E"/>
    <w:pPr>
      <w:spacing w:before="120" w:line="274" w:lineRule="auto"/>
      <w:ind w:left="1469"/>
    </w:pPr>
    <w:rPr>
      <w:rFonts w:ascii="Arial" w:hAnsi="Arial"/>
      <w:color w:val="6E9AC7"/>
      <w:sz w:val="20"/>
      <w:szCs w:val="20"/>
      <w:lang w:val="en-US"/>
    </w:rPr>
  </w:style>
  <w:style w:type="paragraph" w:styleId="TOC2">
    <w:name w:val="toc 2"/>
    <w:basedOn w:val="Normal"/>
    <w:next w:val="Normal"/>
    <w:autoRedefine/>
    <w:uiPriority w:val="39"/>
    <w:unhideWhenUsed/>
    <w:qFormat/>
    <w:rsid w:val="00A0194E"/>
    <w:pPr>
      <w:spacing w:before="240" w:line="274" w:lineRule="auto"/>
    </w:pPr>
    <w:rPr>
      <w:rFonts w:ascii="Arial" w:hAnsi="Arial" w:cs="Tahoma (Body CS)"/>
      <w:bCs/>
      <w:color w:val="013147"/>
      <w:szCs w:val="20"/>
      <w:lang w:val="en-US"/>
    </w:rPr>
  </w:style>
  <w:style w:type="character" w:customStyle="1" w:styleId="Heading3Char">
    <w:name w:val="Heading 3 Char"/>
    <w:basedOn w:val="DefaultParagraphFont"/>
    <w:link w:val="Heading3"/>
    <w:uiPriority w:val="9"/>
    <w:rsid w:val="00EC272E"/>
    <w:rPr>
      <w:rFonts w:ascii="Arial" w:eastAsia="MS Mincho" w:hAnsi="Arial" w:cs="Arial"/>
      <w:b/>
      <w:color w:val="3CA5DD"/>
      <w:sz w:val="28"/>
      <w:szCs w:val="28"/>
      <w:lang w:val="en-GB"/>
    </w:rPr>
  </w:style>
  <w:style w:type="character" w:customStyle="1" w:styleId="Heading4Char">
    <w:name w:val="Heading 4 Char"/>
    <w:basedOn w:val="DefaultParagraphFont"/>
    <w:link w:val="Heading4"/>
    <w:uiPriority w:val="9"/>
    <w:rsid w:val="00EC272E"/>
    <w:rPr>
      <w:rFonts w:ascii="Arial" w:eastAsia="MS Mincho" w:hAnsi="Arial" w:cs="Arial"/>
      <w:b/>
      <w:iCs/>
      <w:color w:val="3CA5DD"/>
      <w:lang w:val="en-GB"/>
    </w:rPr>
  </w:style>
  <w:style w:type="paragraph" w:styleId="FootnoteText">
    <w:name w:val="footnote text"/>
    <w:basedOn w:val="Normal"/>
    <w:link w:val="FootnoteTextChar"/>
    <w:uiPriority w:val="99"/>
    <w:unhideWhenUsed/>
    <w:rsid w:val="00EC272E"/>
    <w:rPr>
      <w:rFonts w:ascii="Arial" w:eastAsia="MS Mincho" w:hAnsi="Arial" w:cs="Times New Roman"/>
      <w:color w:val="767171"/>
      <w:sz w:val="18"/>
      <w:szCs w:val="20"/>
      <w:lang w:val="en-GB"/>
    </w:rPr>
  </w:style>
  <w:style w:type="character" w:customStyle="1" w:styleId="FootnoteTextChar">
    <w:name w:val="Footnote Text Char"/>
    <w:basedOn w:val="DefaultParagraphFont"/>
    <w:link w:val="FootnoteText"/>
    <w:uiPriority w:val="99"/>
    <w:rsid w:val="00EC272E"/>
    <w:rPr>
      <w:rFonts w:ascii="Arial" w:eastAsia="MS Mincho" w:hAnsi="Arial" w:cs="Times New Roman"/>
      <w:color w:val="767171"/>
      <w:sz w:val="18"/>
      <w:szCs w:val="20"/>
      <w:lang w:val="en-GB"/>
    </w:rPr>
  </w:style>
  <w:style w:type="character" w:styleId="FootnoteReference">
    <w:name w:val="footnote reference"/>
    <w:basedOn w:val="DefaultParagraphFont"/>
    <w:uiPriority w:val="99"/>
    <w:unhideWhenUsed/>
    <w:rsid w:val="00EC272E"/>
    <w:rPr>
      <w:vertAlign w:val="superscript"/>
    </w:rPr>
  </w:style>
  <w:style w:type="paragraph" w:customStyle="1" w:styleId="TableHeadings">
    <w:name w:val="Table Headings"/>
    <w:basedOn w:val="Normal"/>
    <w:qFormat/>
    <w:rsid w:val="00EC272E"/>
    <w:rPr>
      <w:rFonts w:ascii="Arial" w:eastAsia="MS Mincho" w:hAnsi="Arial" w:cs="Arial"/>
      <w:b/>
      <w:bCs/>
      <w:iCs/>
      <w:color w:val="FFFFFF" w:themeColor="background1"/>
      <w:sz w:val="22"/>
      <w:lang w:val="en-GB"/>
    </w:rPr>
  </w:style>
  <w:style w:type="paragraph" w:styleId="Header">
    <w:name w:val="header"/>
    <w:basedOn w:val="Normal"/>
    <w:link w:val="HeaderChar"/>
    <w:uiPriority w:val="99"/>
    <w:unhideWhenUsed/>
    <w:rsid w:val="00EC272E"/>
    <w:pPr>
      <w:tabs>
        <w:tab w:val="center" w:pos="4680"/>
        <w:tab w:val="right" w:pos="9360"/>
      </w:tabs>
    </w:pPr>
  </w:style>
  <w:style w:type="character" w:customStyle="1" w:styleId="HeaderChar">
    <w:name w:val="Header Char"/>
    <w:basedOn w:val="DefaultParagraphFont"/>
    <w:link w:val="Header"/>
    <w:uiPriority w:val="99"/>
    <w:rsid w:val="00EC272E"/>
    <w:rPr>
      <w:rFonts w:eastAsiaTheme="minorEastAsia"/>
    </w:rPr>
  </w:style>
  <w:style w:type="paragraph" w:styleId="Footer">
    <w:name w:val="footer"/>
    <w:basedOn w:val="Normal"/>
    <w:link w:val="FooterChar"/>
    <w:uiPriority w:val="99"/>
    <w:unhideWhenUsed/>
    <w:rsid w:val="00EC272E"/>
    <w:pPr>
      <w:tabs>
        <w:tab w:val="center" w:pos="4680"/>
        <w:tab w:val="right" w:pos="9360"/>
      </w:tabs>
    </w:pPr>
  </w:style>
  <w:style w:type="character" w:customStyle="1" w:styleId="FooterChar">
    <w:name w:val="Footer Char"/>
    <w:basedOn w:val="DefaultParagraphFont"/>
    <w:link w:val="Footer"/>
    <w:uiPriority w:val="99"/>
    <w:rsid w:val="00EC272E"/>
    <w:rPr>
      <w:rFonts w:eastAsiaTheme="minorEastAsia"/>
    </w:rPr>
  </w:style>
  <w:style w:type="table" w:styleId="TableGrid">
    <w:name w:val="Table Grid"/>
    <w:basedOn w:val="TableNormal"/>
    <w:uiPriority w:val="59"/>
    <w:rsid w:val="00EC272E"/>
    <w:rPr>
      <w:rFonts w:ascii="Garamond" w:eastAsia="Times New Roman" w:hAnsi="Garamond"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C27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272E"/>
    <w:rPr>
      <w:rFonts w:ascii="Arial" w:eastAsia="MS Mincho" w:hAnsi="Arial" w:cs="Arial"/>
      <w:b/>
      <w:color w:val="008080"/>
      <w:sz w:val="44"/>
      <w:szCs w:val="44"/>
      <w:lang w:val="en-GB"/>
    </w:rPr>
  </w:style>
  <w:style w:type="character" w:styleId="Hyperlink">
    <w:name w:val="Hyperlink"/>
    <w:basedOn w:val="DefaultParagraphFont"/>
    <w:uiPriority w:val="99"/>
    <w:unhideWhenUsed/>
    <w:rsid w:val="00F64B31"/>
    <w:rPr>
      <w:color w:val="3CA5DD"/>
      <w:u w:val="none"/>
    </w:rPr>
  </w:style>
  <w:style w:type="character" w:styleId="FollowedHyperlink">
    <w:name w:val="FollowedHyperlink"/>
    <w:basedOn w:val="DefaultParagraphFont"/>
    <w:uiPriority w:val="99"/>
    <w:semiHidden/>
    <w:unhideWhenUsed/>
    <w:rsid w:val="00DC29BE"/>
    <w:rPr>
      <w:color w:val="954F72" w:themeColor="followedHyperlink"/>
      <w:u w:val="single"/>
    </w:rPr>
  </w:style>
  <w:style w:type="paragraph" w:styleId="ListParagraph">
    <w:name w:val="List Paragraph"/>
    <w:basedOn w:val="Normal"/>
    <w:uiPriority w:val="34"/>
    <w:qFormat/>
    <w:rsid w:val="007249A2"/>
    <w:pPr>
      <w:ind w:left="720"/>
    </w:pPr>
    <w:rPr>
      <w:rFonts w:ascii="Times New Roman" w:eastAsia="MS Mincho" w:hAnsi="Times New Roman" w:cs="Times New Roman"/>
      <w:lang w:val="en-GB"/>
    </w:rPr>
  </w:style>
  <w:style w:type="paragraph" w:styleId="CommentText">
    <w:name w:val="annotation text"/>
    <w:basedOn w:val="Normal"/>
    <w:link w:val="CommentTextChar"/>
    <w:uiPriority w:val="99"/>
    <w:unhideWhenUsed/>
    <w:rsid w:val="004A24BB"/>
    <w:rPr>
      <w:rFonts w:ascii="Times New Roman" w:eastAsia="MS Mincho" w:hAnsi="Times New Roman" w:cs="Times New Roman"/>
      <w:sz w:val="20"/>
      <w:szCs w:val="20"/>
      <w:lang w:val="en-GB"/>
    </w:rPr>
  </w:style>
  <w:style w:type="character" w:customStyle="1" w:styleId="CommentTextChar">
    <w:name w:val="Comment Text Char"/>
    <w:basedOn w:val="DefaultParagraphFont"/>
    <w:link w:val="CommentText"/>
    <w:uiPriority w:val="99"/>
    <w:rsid w:val="004A24BB"/>
    <w:rPr>
      <w:rFonts w:ascii="Times New Roman" w:eastAsia="MS Mincho" w:hAnsi="Times New Roman" w:cs="Times New Roman"/>
      <w:sz w:val="20"/>
      <w:szCs w:val="20"/>
      <w:lang w:val="en-GB"/>
    </w:rPr>
  </w:style>
  <w:style w:type="character" w:styleId="UnresolvedMention">
    <w:name w:val="Unresolved Mention"/>
    <w:basedOn w:val="DefaultParagraphFont"/>
    <w:uiPriority w:val="99"/>
    <w:semiHidden/>
    <w:unhideWhenUsed/>
    <w:rsid w:val="00F27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ata/monitoring-universal-health-covera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Schroeter</dc:creator>
  <cp:keywords/>
  <dc:description/>
  <cp:lastModifiedBy>SKARPHEDINSDOTTIR, Maria</cp:lastModifiedBy>
  <cp:revision>6</cp:revision>
  <dcterms:created xsi:type="dcterms:W3CDTF">2021-05-17T19:30:00Z</dcterms:created>
  <dcterms:modified xsi:type="dcterms:W3CDTF">2021-05-19T21:11:00Z</dcterms:modified>
</cp:coreProperties>
</file>