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F685" w14:textId="4AABD107" w:rsidR="002A0F3F" w:rsidRPr="00241AA4" w:rsidRDefault="002A0F3F" w:rsidP="002A0F3F">
      <w:pPr>
        <w:pStyle w:val="Heading1"/>
        <w:jc w:val="left"/>
      </w:pPr>
      <w:bookmarkStart w:id="0" w:name="_Toc72157313"/>
      <w:r w:rsidRPr="00241AA4">
        <w:t>Tool. The WHO global health expenditure report</w:t>
      </w:r>
      <w:bookmarkEnd w:id="0"/>
      <w:r w:rsidRPr="00241AA4">
        <w:t xml:space="preserve"> </w:t>
      </w:r>
    </w:p>
    <w:p w14:paraId="670D58F4" w14:textId="77777777" w:rsidR="002A0F3F" w:rsidRDefault="002A0F3F" w:rsidP="002A0F3F">
      <w:pPr>
        <w:spacing w:after="120"/>
        <w:jc w:val="both"/>
        <w:rPr>
          <w:rFonts w:ascii="Arial" w:hAnsi="Arial" w:cs="Arial"/>
          <w:sz w:val="22"/>
        </w:rPr>
      </w:pPr>
    </w:p>
    <w:p w14:paraId="523D270E" w14:textId="3C7EC9B7" w:rsidR="002A0F3F" w:rsidRPr="00093C31" w:rsidRDefault="002A0F3F" w:rsidP="002A0F3F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WHO </w:t>
      </w:r>
      <w:r w:rsidRPr="00093C31">
        <w:rPr>
          <w:rFonts w:ascii="Arial" w:hAnsi="Arial" w:cs="Arial"/>
          <w:sz w:val="22"/>
          <w:szCs w:val="22"/>
        </w:rPr>
        <w:t>has issued</w:t>
      </w:r>
      <w:r w:rsidRPr="00093C31">
        <w:rPr>
          <w:rFonts w:ascii="Arial" w:hAnsi="Arial" w:cs="Arial"/>
          <w:sz w:val="22"/>
        </w:rPr>
        <w:t xml:space="preserve"> </w:t>
      </w:r>
      <w:hyperlink r:id="rId7" w:history="1">
        <w:r w:rsidRPr="00093C31">
          <w:rPr>
            <w:rStyle w:val="Hyperlink"/>
            <w:rFonts w:ascii="Arial" w:hAnsi="Arial" w:cs="Arial"/>
            <w:sz w:val="22"/>
          </w:rPr>
          <w:t>a global expenditure report</w:t>
        </w:r>
      </w:hyperlink>
      <w:r w:rsidRPr="00093C31">
        <w:rPr>
          <w:rFonts w:ascii="Arial" w:hAnsi="Arial" w:cs="Arial"/>
          <w:sz w:val="22"/>
          <w:szCs w:val="22"/>
        </w:rPr>
        <w:t xml:space="preserve"> annually since 2017 </w:t>
      </w:r>
      <w:r w:rsidRPr="00093C31">
        <w:rPr>
          <w:rFonts w:ascii="Arial" w:hAnsi="Arial" w:cs="Arial"/>
          <w:i/>
          <w:sz w:val="22"/>
          <w:szCs w:val="22"/>
        </w:rPr>
        <w:t>(46</w:t>
      </w:r>
      <w:proofErr w:type="gramStart"/>
      <w:r w:rsidRPr="00093C31">
        <w:rPr>
          <w:rFonts w:ascii="Arial" w:hAnsi="Arial" w:cs="Arial"/>
          <w:i/>
          <w:sz w:val="22"/>
          <w:szCs w:val="22"/>
        </w:rPr>
        <w:t>).</w:t>
      </w:r>
      <w:proofErr w:type="gramEnd"/>
      <w:r w:rsidRPr="00093C31">
        <w:rPr>
          <w:rFonts w:ascii="Arial" w:hAnsi="Arial" w:cs="Arial"/>
          <w:sz w:val="22"/>
        </w:rPr>
        <w:t xml:space="preserve"> The 2020 </w:t>
      </w:r>
      <w:r w:rsidRPr="00093C31">
        <w:rPr>
          <w:rFonts w:ascii="Arial" w:hAnsi="Arial" w:cs="Arial"/>
          <w:sz w:val="22"/>
          <w:szCs w:val="22"/>
        </w:rPr>
        <w:t xml:space="preserve">report provided </w:t>
      </w:r>
      <w:r w:rsidRPr="00093C31">
        <w:rPr>
          <w:rFonts w:ascii="Arial" w:hAnsi="Arial" w:cs="Arial"/>
          <w:sz w:val="22"/>
        </w:rPr>
        <w:t xml:space="preserve">global health spending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190 countries </w:t>
      </w:r>
      <w:r w:rsidRPr="00093C31">
        <w:rPr>
          <w:rFonts w:ascii="Arial" w:hAnsi="Arial" w:cs="Arial"/>
          <w:sz w:val="22"/>
          <w:szCs w:val="22"/>
        </w:rPr>
        <w:t>between</w:t>
      </w:r>
      <w:r w:rsidRPr="00093C31">
        <w:rPr>
          <w:rFonts w:ascii="Arial" w:hAnsi="Arial" w:cs="Arial"/>
          <w:sz w:val="22"/>
        </w:rPr>
        <w:t xml:space="preserve"> 2000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2018 and health spending </w:t>
      </w:r>
      <w:r w:rsidRPr="00093C31">
        <w:rPr>
          <w:rFonts w:ascii="Arial" w:hAnsi="Arial" w:cs="Arial"/>
          <w:sz w:val="22"/>
          <w:szCs w:val="22"/>
        </w:rPr>
        <w:t>between the Millennium Development Goals</w:t>
      </w:r>
      <w:r w:rsidRPr="00093C31">
        <w:rPr>
          <w:rFonts w:ascii="Arial" w:hAnsi="Arial" w:cs="Arial"/>
          <w:sz w:val="22"/>
        </w:rPr>
        <w:t xml:space="preserve"> era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the SDG era</w:t>
      </w:r>
      <w:r w:rsidRPr="00093C31">
        <w:rPr>
          <w:rFonts w:ascii="Arial" w:hAnsi="Arial" w:cs="Arial"/>
          <w:sz w:val="22"/>
          <w:szCs w:val="22"/>
        </w:rPr>
        <w:t>, before</w:t>
      </w:r>
      <w:r w:rsidRPr="00093C31">
        <w:rPr>
          <w:rFonts w:ascii="Arial" w:hAnsi="Arial" w:cs="Arial"/>
          <w:sz w:val="22"/>
        </w:rPr>
        <w:t xml:space="preserve"> the </w:t>
      </w:r>
      <w:r w:rsidRPr="00093C31">
        <w:rPr>
          <w:rFonts w:ascii="Arial" w:hAnsi="Arial" w:cs="Arial"/>
          <w:sz w:val="22"/>
          <w:szCs w:val="22"/>
        </w:rPr>
        <w:t>COVID-19 pandemic</w:t>
      </w:r>
      <w:r w:rsidRPr="00093C31">
        <w:rPr>
          <w:rFonts w:ascii="Arial" w:hAnsi="Arial" w:cs="Arial"/>
          <w:sz w:val="22"/>
        </w:rPr>
        <w:t xml:space="preserve"> of 2020. The data show that out-of-pocket spending has remained high in low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 and lower</w:t>
      </w:r>
      <w:r w:rsidRPr="00093C31">
        <w:rPr>
          <w:rFonts w:ascii="Arial" w:hAnsi="Arial" w:cs="Arial"/>
          <w:sz w:val="22"/>
          <w:szCs w:val="22"/>
        </w:rPr>
        <w:t>–</w:t>
      </w:r>
      <w:r w:rsidRPr="00093C31">
        <w:rPr>
          <w:rFonts w:ascii="Arial" w:hAnsi="Arial" w:cs="Arial"/>
          <w:sz w:val="22"/>
        </w:rPr>
        <w:t>middle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income countries, representing </w:t>
      </w:r>
      <w:r w:rsidRPr="00093C31">
        <w:rPr>
          <w:rFonts w:ascii="Arial" w:hAnsi="Arial" w:cs="Arial"/>
          <w:sz w:val="22"/>
          <w:szCs w:val="22"/>
        </w:rPr>
        <w:t>more</w:t>
      </w:r>
      <w:r w:rsidRPr="00093C31">
        <w:rPr>
          <w:rFonts w:ascii="Arial" w:hAnsi="Arial" w:cs="Arial"/>
          <w:sz w:val="22"/>
        </w:rPr>
        <w:t xml:space="preserve"> than 40% of total health spending in 2018. The report summarizes data on </w:t>
      </w:r>
      <w:r w:rsidRPr="00093C31">
        <w:rPr>
          <w:rFonts w:ascii="Arial" w:hAnsi="Arial" w:cs="Arial"/>
          <w:sz w:val="22"/>
          <w:szCs w:val="22"/>
        </w:rPr>
        <w:t>expenditure</w:t>
      </w:r>
      <w:r w:rsidRPr="00093C31">
        <w:rPr>
          <w:rFonts w:ascii="Arial" w:hAnsi="Arial" w:cs="Arial"/>
          <w:sz w:val="22"/>
        </w:rPr>
        <w:t xml:space="preserve"> for </w:t>
      </w:r>
      <w:r w:rsidRPr="00093C31">
        <w:rPr>
          <w:rFonts w:ascii="Arial" w:hAnsi="Arial" w:cs="Arial"/>
          <w:sz w:val="22"/>
          <w:szCs w:val="22"/>
        </w:rPr>
        <w:t>primary health care and</w:t>
      </w:r>
      <w:r w:rsidRPr="00093C31">
        <w:rPr>
          <w:rFonts w:ascii="Arial" w:hAnsi="Arial" w:cs="Arial"/>
          <w:sz w:val="22"/>
        </w:rPr>
        <w:t xml:space="preserve"> by disease and intervention, including for immunization. The report also </w:t>
      </w:r>
      <w:r w:rsidRPr="00093C31">
        <w:rPr>
          <w:rFonts w:ascii="Arial" w:hAnsi="Arial" w:cs="Arial"/>
          <w:sz w:val="22"/>
          <w:szCs w:val="22"/>
        </w:rPr>
        <w:t>presents analyses of</w:t>
      </w:r>
      <w:r w:rsidRPr="00093C31">
        <w:rPr>
          <w:rFonts w:ascii="Arial" w:hAnsi="Arial" w:cs="Arial"/>
          <w:sz w:val="22"/>
        </w:rPr>
        <w:t xml:space="preserve"> the data on budget allocation in response to the </w:t>
      </w:r>
      <w:r w:rsidRPr="00093C31">
        <w:rPr>
          <w:rFonts w:ascii="Arial" w:hAnsi="Arial" w:cs="Arial"/>
          <w:sz w:val="22"/>
          <w:szCs w:val="22"/>
        </w:rPr>
        <w:t>pandemic.</w:t>
      </w:r>
      <w:r w:rsidRPr="00093C31">
        <w:rPr>
          <w:rFonts w:ascii="Arial" w:hAnsi="Arial" w:cs="Arial"/>
          <w:sz w:val="22"/>
        </w:rPr>
        <w:t xml:space="preserve"> In addition, the report combines projections </w:t>
      </w:r>
      <w:r w:rsidRPr="00093C31">
        <w:rPr>
          <w:rFonts w:ascii="Arial" w:hAnsi="Arial" w:cs="Arial"/>
          <w:sz w:val="22"/>
          <w:szCs w:val="22"/>
        </w:rPr>
        <w:t xml:space="preserve">from the World Bank and the International Monetary Fund </w:t>
      </w:r>
      <w:r w:rsidRPr="00093C31">
        <w:rPr>
          <w:rFonts w:ascii="Arial" w:hAnsi="Arial" w:cs="Arial"/>
          <w:sz w:val="22"/>
        </w:rPr>
        <w:t xml:space="preserve">of the macroeconomic and fiscal </w:t>
      </w:r>
      <w:r w:rsidRPr="00093C31">
        <w:rPr>
          <w:rFonts w:ascii="Arial" w:hAnsi="Arial" w:cs="Arial"/>
          <w:sz w:val="22"/>
          <w:szCs w:val="22"/>
        </w:rPr>
        <w:t>impacts</w:t>
      </w:r>
      <w:r w:rsidRPr="00093C31">
        <w:rPr>
          <w:rFonts w:ascii="Arial" w:hAnsi="Arial" w:cs="Arial"/>
          <w:sz w:val="22"/>
        </w:rPr>
        <w:t xml:space="preserve"> of the </w:t>
      </w:r>
      <w:r w:rsidRPr="00093C31">
        <w:rPr>
          <w:rFonts w:ascii="Arial" w:hAnsi="Arial" w:cs="Arial"/>
          <w:sz w:val="22"/>
          <w:szCs w:val="22"/>
        </w:rPr>
        <w:t>pandemic,</w:t>
      </w:r>
      <w:r w:rsidRPr="00093C31">
        <w:rPr>
          <w:rFonts w:ascii="Arial" w:hAnsi="Arial" w:cs="Arial"/>
          <w:sz w:val="22"/>
        </w:rPr>
        <w:t xml:space="preserve"> with an analysis of the historical determinants of health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>spending patterns and UHC indicators</w:t>
      </w:r>
      <w:r w:rsidRPr="00093C31">
        <w:rPr>
          <w:rFonts w:ascii="Arial" w:hAnsi="Arial" w:cs="Arial"/>
          <w:sz w:val="22"/>
          <w:szCs w:val="22"/>
        </w:rPr>
        <w:t>. On</w:t>
      </w:r>
      <w:r w:rsidRPr="00093C31">
        <w:rPr>
          <w:rFonts w:ascii="Arial" w:hAnsi="Arial" w:cs="Arial"/>
          <w:sz w:val="22"/>
        </w:rPr>
        <w:t xml:space="preserve"> this</w:t>
      </w:r>
      <w:r w:rsidRPr="00093C31">
        <w:rPr>
          <w:rFonts w:ascii="Arial" w:hAnsi="Arial" w:cs="Arial"/>
          <w:sz w:val="22"/>
          <w:szCs w:val="22"/>
        </w:rPr>
        <w:t xml:space="preserve"> basis, they report</w:t>
      </w:r>
      <w:r w:rsidRPr="00093C31">
        <w:rPr>
          <w:rFonts w:ascii="Arial" w:hAnsi="Arial" w:cs="Arial"/>
          <w:sz w:val="22"/>
        </w:rPr>
        <w:t xml:space="preserve"> the </w:t>
      </w:r>
      <w:r w:rsidRPr="00093C31">
        <w:rPr>
          <w:rFonts w:ascii="Arial" w:hAnsi="Arial" w:cs="Arial"/>
          <w:sz w:val="22"/>
          <w:szCs w:val="22"/>
        </w:rPr>
        <w:t>probable</w:t>
      </w:r>
      <w:r w:rsidRPr="00093C31">
        <w:rPr>
          <w:rFonts w:ascii="Arial" w:hAnsi="Arial" w:cs="Arial"/>
          <w:sz w:val="22"/>
        </w:rPr>
        <w:t xml:space="preserve"> implications for future health spending, highlighting key policy and monitoring concerns.</w:t>
      </w:r>
    </w:p>
    <w:p w14:paraId="0F101CA8" w14:textId="77777777" w:rsidR="002A0F3F" w:rsidRPr="00093C31" w:rsidRDefault="002A0F3F" w:rsidP="002A0F3F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recommendations are as follows</w:t>
      </w:r>
      <w:r w:rsidRPr="00093C31">
        <w:rPr>
          <w:rFonts w:ascii="Arial" w:hAnsi="Arial" w:cs="Arial"/>
          <w:sz w:val="22"/>
          <w:szCs w:val="22"/>
        </w:rPr>
        <w:t>:</w:t>
      </w:r>
    </w:p>
    <w:p w14:paraId="782800F7" w14:textId="77777777" w:rsidR="002A0F3F" w:rsidRPr="00093C31" w:rsidRDefault="002A0F3F" w:rsidP="002A0F3F">
      <w:pPr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Secure domestic public spending on health as both a societal and an economic priority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31B9FCD1" w14:textId="77777777" w:rsidR="002A0F3F" w:rsidRPr="00093C31" w:rsidRDefault="002A0F3F" w:rsidP="002A0F3F">
      <w:pPr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Fund common goods for health as step zero of </w:t>
      </w:r>
      <w:r w:rsidRPr="00093C31">
        <w:rPr>
          <w:rFonts w:ascii="Arial" w:hAnsi="Arial" w:cs="Arial"/>
          <w:sz w:val="22"/>
          <w:szCs w:val="22"/>
        </w:rPr>
        <w:t>UHC</w:t>
      </w:r>
      <w:r w:rsidRPr="00093C31">
        <w:rPr>
          <w:rFonts w:ascii="Arial" w:hAnsi="Arial" w:cs="Arial"/>
          <w:sz w:val="22"/>
        </w:rPr>
        <w:t xml:space="preserve"> at country level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4724A5C8" w14:textId="77777777" w:rsidR="002A0F3F" w:rsidRPr="00093C31" w:rsidRDefault="002A0F3F" w:rsidP="002A0F3F">
      <w:pPr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Invest in global common goods for health to </w:t>
      </w:r>
      <w:r w:rsidRPr="00093C31">
        <w:rPr>
          <w:rFonts w:ascii="Arial" w:hAnsi="Arial" w:cs="Arial"/>
          <w:sz w:val="22"/>
          <w:szCs w:val="22"/>
        </w:rPr>
        <w:t>ensure</w:t>
      </w:r>
      <w:r w:rsidRPr="00093C31">
        <w:rPr>
          <w:rFonts w:ascii="Arial" w:hAnsi="Arial" w:cs="Arial"/>
          <w:sz w:val="22"/>
        </w:rPr>
        <w:t xml:space="preserve"> global health security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63F8CAE9" w14:textId="77777777" w:rsidR="002A0F3F" w:rsidRPr="00093C31" w:rsidRDefault="002A0F3F" w:rsidP="002A0F3F">
      <w:pPr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Prioritize public funding to ensure </w:t>
      </w:r>
      <w:r w:rsidRPr="00093C31">
        <w:rPr>
          <w:rFonts w:ascii="Arial" w:hAnsi="Arial" w:cs="Arial"/>
          <w:sz w:val="22"/>
          <w:szCs w:val="22"/>
        </w:rPr>
        <w:t>equitable</w:t>
      </w:r>
      <w:r w:rsidRPr="00093C31">
        <w:rPr>
          <w:rFonts w:ascii="Arial" w:hAnsi="Arial" w:cs="Arial"/>
          <w:sz w:val="22"/>
        </w:rPr>
        <w:t xml:space="preserve"> access and financial protection through a primary health care approach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5A8D4401" w14:textId="77777777" w:rsidR="002A0F3F" w:rsidRPr="00093C31" w:rsidRDefault="002A0F3F" w:rsidP="002A0F3F">
      <w:pPr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Increase the level of aid to </w:t>
      </w:r>
      <w:proofErr w:type="gramStart"/>
      <w:r w:rsidRPr="00093C31">
        <w:rPr>
          <w:rFonts w:ascii="Arial" w:hAnsi="Arial" w:cs="Arial"/>
          <w:sz w:val="22"/>
        </w:rPr>
        <w:t>lower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>income</w:t>
      </w:r>
      <w:proofErr w:type="gramEnd"/>
      <w:r w:rsidRPr="00093C31">
        <w:rPr>
          <w:rFonts w:ascii="Arial" w:hAnsi="Arial" w:cs="Arial"/>
          <w:sz w:val="22"/>
        </w:rPr>
        <w:t xml:space="preserve"> countries, but adjust aid modalities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7876C1C3" w14:textId="77777777" w:rsidR="002A0F3F" w:rsidRPr="00093C31" w:rsidRDefault="002A0F3F" w:rsidP="002A0F3F">
      <w:pPr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Fund national institutions for transparent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inclusive tracking of health spending at both </w:t>
      </w:r>
      <w:r w:rsidRPr="00093C31">
        <w:rPr>
          <w:rFonts w:ascii="Arial" w:hAnsi="Arial" w:cs="Arial"/>
          <w:sz w:val="22"/>
          <w:szCs w:val="22"/>
        </w:rPr>
        <w:t>national</w:t>
      </w:r>
      <w:r w:rsidRPr="00093C31">
        <w:rPr>
          <w:rFonts w:ascii="Arial" w:hAnsi="Arial" w:cs="Arial"/>
          <w:sz w:val="22"/>
        </w:rPr>
        <w:t xml:space="preserve"> and global levels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4684ED17" w14:textId="28A0D435" w:rsidR="00B45B06" w:rsidRPr="009A1B3E" w:rsidRDefault="00B45B06" w:rsidP="002A0F3F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9A1B3E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8C32" w14:textId="77777777" w:rsidR="006A03AC" w:rsidRDefault="006A03AC" w:rsidP="00EC272E">
      <w:r>
        <w:separator/>
      </w:r>
    </w:p>
  </w:endnote>
  <w:endnote w:type="continuationSeparator" w:id="0">
    <w:p w14:paraId="34A80FC5" w14:textId="77777777" w:rsidR="006A03AC" w:rsidRDefault="006A03AC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5F07CC48" w:rsidR="00600C8D" w:rsidRPr="00910245" w:rsidRDefault="00DB2A7E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EA25C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Introduction to public policy and its association with budgets in relation to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D54A" w14:textId="77777777" w:rsidR="006A03AC" w:rsidRDefault="006A03AC" w:rsidP="00EC272E">
      <w:r>
        <w:separator/>
      </w:r>
    </w:p>
  </w:footnote>
  <w:footnote w:type="continuationSeparator" w:id="0">
    <w:p w14:paraId="4E23E39A" w14:textId="77777777" w:rsidR="006A03AC" w:rsidRDefault="006A03AC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19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2A0F3F"/>
    <w:rsid w:val="002D2BE4"/>
    <w:rsid w:val="003268F6"/>
    <w:rsid w:val="003D124A"/>
    <w:rsid w:val="00431272"/>
    <w:rsid w:val="004334AD"/>
    <w:rsid w:val="004A24BB"/>
    <w:rsid w:val="005359DA"/>
    <w:rsid w:val="005C14A4"/>
    <w:rsid w:val="00600C8D"/>
    <w:rsid w:val="006A03AC"/>
    <w:rsid w:val="007249A2"/>
    <w:rsid w:val="007A4CB0"/>
    <w:rsid w:val="007B1413"/>
    <w:rsid w:val="007E23C4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EA42DB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publications/i/item/9789240017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2021-05-17T19:31:00Z</dcterms:created>
  <dcterms:modified xsi:type="dcterms:W3CDTF">2021-05-17T19:31:00Z</dcterms:modified>
</cp:coreProperties>
</file>