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D80C1" w14:textId="7506AC75" w:rsidR="00DD4A6B" w:rsidRPr="00093C31" w:rsidRDefault="00DD4A6B" w:rsidP="00DD4A6B">
      <w:pPr>
        <w:pStyle w:val="Heading1"/>
        <w:jc w:val="left"/>
      </w:pPr>
      <w:bookmarkStart w:id="0" w:name="_Toc72157315"/>
      <w:r w:rsidRPr="00093C31">
        <w:t>Activity: Exploring UHC budget information with the Global health expenditure database</w:t>
      </w:r>
      <w:bookmarkEnd w:id="0"/>
    </w:p>
    <w:p w14:paraId="1CFF4FAA" w14:textId="77777777" w:rsidR="00DD4A6B" w:rsidRDefault="00DD4A6B" w:rsidP="00DD4A6B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5B14760" w14:textId="1C12EC48" w:rsidR="00DD4A6B" w:rsidRPr="00093C31" w:rsidRDefault="00DD4A6B" w:rsidP="00DD4A6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93C31">
        <w:rPr>
          <w:rFonts w:ascii="Arial" w:hAnsi="Arial" w:cs="Arial"/>
          <w:sz w:val="22"/>
          <w:szCs w:val="22"/>
        </w:rPr>
        <w:t xml:space="preserve">Suggest how participants could use these two tools and particularly the </w:t>
      </w:r>
      <w:hyperlink r:id="rId7" w:history="1">
        <w:r w:rsidRPr="00093C31">
          <w:rPr>
            <w:rFonts w:ascii="Arial" w:hAnsi="Arial" w:cs="Arial"/>
            <w:color w:val="0000FF"/>
            <w:sz w:val="22"/>
            <w:szCs w:val="22"/>
            <w:u w:val="single"/>
          </w:rPr>
          <w:t>Global health expenditure database</w:t>
        </w:r>
      </w:hyperlink>
      <w:r w:rsidRPr="00093C31">
        <w:rPr>
          <w:rFonts w:ascii="Arial" w:hAnsi="Arial" w:cs="Arial"/>
          <w:sz w:val="22"/>
          <w:szCs w:val="22"/>
        </w:rPr>
        <w:t>, as it is complex to navigate. Your advice on key search terms for UHC would be useful. You could go through the following steps with participants:</w:t>
      </w:r>
    </w:p>
    <w:p w14:paraId="6D0C10DA" w14:textId="77777777" w:rsidR="00DD4A6B" w:rsidRPr="00093C31" w:rsidRDefault="00DD4A6B" w:rsidP="00DD4A6B">
      <w:pPr>
        <w:numPr>
          <w:ilvl w:val="1"/>
          <w:numId w:val="17"/>
        </w:numPr>
        <w:spacing w:after="120"/>
        <w:ind w:left="426" w:hanging="284"/>
        <w:jc w:val="both"/>
        <w:rPr>
          <w:rFonts w:ascii="Arial" w:hAnsi="Arial" w:cs="Arial"/>
          <w:sz w:val="22"/>
          <w:szCs w:val="22"/>
        </w:rPr>
      </w:pPr>
      <w:r w:rsidRPr="00093C31">
        <w:rPr>
          <w:rFonts w:ascii="Arial" w:hAnsi="Arial" w:cs="Arial"/>
          <w:sz w:val="22"/>
          <w:szCs w:val="22"/>
        </w:rPr>
        <w:t>Go to http://apps.who.int/nha/database/Select/Indicators/en.</w:t>
      </w:r>
    </w:p>
    <w:p w14:paraId="02EF7961" w14:textId="2CC9F96D" w:rsidR="00DD4A6B" w:rsidRPr="00093C31" w:rsidRDefault="00DD4A6B" w:rsidP="00DD4A6B">
      <w:pPr>
        <w:numPr>
          <w:ilvl w:val="1"/>
          <w:numId w:val="17"/>
        </w:numPr>
        <w:spacing w:after="120"/>
        <w:ind w:left="426" w:hanging="284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</w:rPr>
        <w:t xml:space="preserve">Click on </w:t>
      </w:r>
      <w:r w:rsidRPr="00093C31">
        <w:rPr>
          <w:rFonts w:ascii="Arial" w:hAnsi="Arial" w:cs="Arial"/>
          <w:sz w:val="22"/>
          <w:szCs w:val="22"/>
        </w:rPr>
        <w:t>“</w:t>
      </w:r>
      <w:r w:rsidRPr="00093C31">
        <w:rPr>
          <w:rFonts w:ascii="Arial" w:hAnsi="Arial" w:cs="Arial"/>
          <w:sz w:val="22"/>
        </w:rPr>
        <w:t>Indicators</w:t>
      </w:r>
      <w:r w:rsidRPr="00093C31">
        <w:rPr>
          <w:rFonts w:ascii="Arial" w:hAnsi="Arial" w:cs="Arial"/>
          <w:sz w:val="22"/>
          <w:szCs w:val="22"/>
        </w:rPr>
        <w:t>”</w:t>
      </w:r>
      <w:r w:rsidRPr="00093C31">
        <w:rPr>
          <w:rFonts w:ascii="Arial" w:hAnsi="Arial" w:cs="Arial"/>
          <w:sz w:val="22"/>
        </w:rPr>
        <w:t xml:space="preserve"> and then on </w:t>
      </w:r>
      <w:r w:rsidRPr="00093C31">
        <w:rPr>
          <w:rFonts w:ascii="Arial" w:hAnsi="Arial" w:cs="Arial"/>
          <w:sz w:val="22"/>
          <w:szCs w:val="22"/>
        </w:rPr>
        <w:t>“</w:t>
      </w:r>
      <w:r w:rsidRPr="00093C31">
        <w:rPr>
          <w:rFonts w:ascii="Arial" w:hAnsi="Arial" w:cs="Arial"/>
          <w:sz w:val="22"/>
        </w:rPr>
        <w:t>Aggregates</w:t>
      </w:r>
      <w:r w:rsidRPr="00093C31">
        <w:rPr>
          <w:rFonts w:ascii="Arial" w:hAnsi="Arial" w:cs="Arial"/>
          <w:sz w:val="22"/>
          <w:szCs w:val="22"/>
        </w:rPr>
        <w:t>”.</w:t>
      </w:r>
      <w:r w:rsidRPr="00093C31">
        <w:rPr>
          <w:rFonts w:ascii="Arial" w:hAnsi="Arial" w:cs="Arial"/>
          <w:sz w:val="22"/>
        </w:rPr>
        <w:t xml:space="preserve"> Select an indicator</w:t>
      </w:r>
      <w:r w:rsidRPr="00093C31">
        <w:rPr>
          <w:rFonts w:ascii="Arial" w:hAnsi="Arial" w:cs="Arial"/>
          <w:sz w:val="22"/>
          <w:szCs w:val="22"/>
        </w:rPr>
        <w:t>:</w:t>
      </w:r>
      <w:r w:rsidRPr="00093C31">
        <w:rPr>
          <w:rFonts w:ascii="Arial" w:hAnsi="Arial" w:cs="Arial"/>
          <w:sz w:val="22"/>
        </w:rPr>
        <w:t xml:space="preserve"> “Current </w:t>
      </w:r>
      <w:r w:rsidRPr="00093C31">
        <w:rPr>
          <w:rFonts w:ascii="Arial" w:hAnsi="Arial" w:cs="Arial"/>
          <w:sz w:val="22"/>
          <w:szCs w:val="22"/>
        </w:rPr>
        <w:t>health expenditure</w:t>
      </w:r>
      <w:r w:rsidRPr="00093C31">
        <w:rPr>
          <w:rFonts w:ascii="Arial" w:hAnsi="Arial" w:cs="Arial"/>
          <w:sz w:val="22"/>
        </w:rPr>
        <w:t xml:space="preserve"> </w:t>
      </w:r>
      <w:r w:rsidR="00622202">
        <w:rPr>
          <w:rFonts w:ascii="Arial" w:hAnsi="Arial" w:cs="Arial"/>
          <w:sz w:val="22"/>
        </w:rPr>
        <w:t xml:space="preserve">(CHE) </w:t>
      </w:r>
      <w:bookmarkStart w:id="1" w:name="_GoBack"/>
      <w:bookmarkEnd w:id="1"/>
      <w:r w:rsidRPr="00093C31">
        <w:rPr>
          <w:rFonts w:ascii="Arial" w:hAnsi="Arial" w:cs="Arial"/>
          <w:sz w:val="22"/>
        </w:rPr>
        <w:t xml:space="preserve">as % of </w:t>
      </w:r>
      <w:r w:rsidRPr="00093C31">
        <w:rPr>
          <w:rFonts w:ascii="Arial" w:hAnsi="Arial" w:cs="Arial"/>
          <w:sz w:val="22"/>
          <w:szCs w:val="22"/>
        </w:rPr>
        <w:t>gross domestic product</w:t>
      </w:r>
      <w:r w:rsidR="00622202">
        <w:rPr>
          <w:rFonts w:ascii="Arial" w:hAnsi="Arial" w:cs="Arial"/>
          <w:sz w:val="22"/>
          <w:szCs w:val="22"/>
        </w:rPr>
        <w:t xml:space="preserve"> </w:t>
      </w:r>
      <w:r w:rsidR="00622202" w:rsidRPr="00622202">
        <w:rPr>
          <w:rFonts w:ascii="Arial" w:hAnsi="Arial" w:cs="Arial"/>
          <w:sz w:val="22"/>
          <w:szCs w:val="22"/>
          <w:lang w:val="en-US"/>
        </w:rPr>
        <w:t>(G</w:t>
      </w:r>
      <w:r w:rsidR="00622202">
        <w:rPr>
          <w:rFonts w:ascii="Arial" w:hAnsi="Arial" w:cs="Arial"/>
          <w:sz w:val="22"/>
          <w:szCs w:val="22"/>
          <w:lang w:val="en-US"/>
        </w:rPr>
        <w:t>DP)</w:t>
      </w:r>
      <w:r w:rsidRPr="00093C31">
        <w:rPr>
          <w:rFonts w:ascii="Arial" w:hAnsi="Arial" w:cs="Arial"/>
          <w:sz w:val="22"/>
          <w:szCs w:val="22"/>
        </w:rPr>
        <w:t>”.</w:t>
      </w:r>
    </w:p>
    <w:p w14:paraId="38102D38" w14:textId="77777777" w:rsidR="00DD4A6B" w:rsidRPr="00093C31" w:rsidRDefault="00DD4A6B" w:rsidP="00DD4A6B">
      <w:pPr>
        <w:numPr>
          <w:ilvl w:val="1"/>
          <w:numId w:val="17"/>
        </w:numPr>
        <w:spacing w:after="120"/>
        <w:ind w:left="426" w:hanging="284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  <w:szCs w:val="22"/>
        </w:rPr>
        <w:t>Go</w:t>
      </w:r>
      <w:r w:rsidRPr="00093C31">
        <w:rPr>
          <w:rFonts w:ascii="Arial" w:hAnsi="Arial" w:cs="Arial"/>
          <w:sz w:val="22"/>
        </w:rPr>
        <w:t xml:space="preserve"> to </w:t>
      </w:r>
      <w:r w:rsidRPr="00093C31">
        <w:rPr>
          <w:rFonts w:ascii="Arial" w:hAnsi="Arial" w:cs="Arial"/>
          <w:sz w:val="22"/>
          <w:szCs w:val="22"/>
        </w:rPr>
        <w:t>“</w:t>
      </w:r>
      <w:r w:rsidRPr="00093C31">
        <w:rPr>
          <w:rFonts w:ascii="Arial" w:hAnsi="Arial" w:cs="Arial"/>
          <w:sz w:val="22"/>
        </w:rPr>
        <w:t>Countries</w:t>
      </w:r>
      <w:r w:rsidRPr="00093C31">
        <w:rPr>
          <w:rFonts w:ascii="Arial" w:hAnsi="Arial" w:cs="Arial"/>
          <w:sz w:val="22"/>
          <w:szCs w:val="22"/>
        </w:rPr>
        <w:t>”</w:t>
      </w:r>
      <w:r w:rsidRPr="00093C31">
        <w:rPr>
          <w:rFonts w:ascii="Arial" w:hAnsi="Arial" w:cs="Arial"/>
          <w:sz w:val="22"/>
        </w:rPr>
        <w:t xml:space="preserve"> (grey box on the left</w:t>
      </w:r>
      <w:r w:rsidRPr="00093C31">
        <w:rPr>
          <w:rFonts w:ascii="Arial" w:hAnsi="Arial" w:cs="Arial"/>
          <w:sz w:val="22"/>
          <w:szCs w:val="22"/>
        </w:rPr>
        <w:t>),</w:t>
      </w:r>
      <w:r w:rsidRPr="00093C31">
        <w:rPr>
          <w:rFonts w:ascii="Arial" w:hAnsi="Arial" w:cs="Arial"/>
          <w:sz w:val="22"/>
        </w:rPr>
        <w:t xml:space="preserve"> and click on it. You should see countries listed in alphabetical order. Find your country and click on it. </w:t>
      </w:r>
    </w:p>
    <w:p w14:paraId="5FA392EA" w14:textId="77777777" w:rsidR="00DD4A6B" w:rsidRPr="00093C31" w:rsidRDefault="00DD4A6B" w:rsidP="00DD4A6B">
      <w:pPr>
        <w:numPr>
          <w:ilvl w:val="1"/>
          <w:numId w:val="17"/>
        </w:numPr>
        <w:spacing w:after="120"/>
        <w:ind w:left="426" w:hanging="284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</w:rPr>
        <w:t xml:space="preserve">Now </w:t>
      </w:r>
      <w:r w:rsidRPr="00093C31">
        <w:rPr>
          <w:rFonts w:ascii="Arial" w:hAnsi="Arial" w:cs="Arial"/>
          <w:sz w:val="22"/>
          <w:szCs w:val="22"/>
        </w:rPr>
        <w:t xml:space="preserve">go </w:t>
      </w:r>
      <w:r w:rsidRPr="00093C31">
        <w:rPr>
          <w:rFonts w:ascii="Arial" w:hAnsi="Arial" w:cs="Arial"/>
          <w:sz w:val="22"/>
        </w:rPr>
        <w:t xml:space="preserve">to </w:t>
      </w:r>
      <w:r w:rsidRPr="00093C31">
        <w:rPr>
          <w:rFonts w:ascii="Arial" w:hAnsi="Arial" w:cs="Arial"/>
          <w:sz w:val="22"/>
          <w:szCs w:val="22"/>
        </w:rPr>
        <w:t>“</w:t>
      </w:r>
      <w:r w:rsidRPr="00093C31">
        <w:rPr>
          <w:rFonts w:ascii="Arial" w:hAnsi="Arial" w:cs="Arial"/>
          <w:sz w:val="22"/>
        </w:rPr>
        <w:t>Years</w:t>
      </w:r>
      <w:r w:rsidRPr="00093C31">
        <w:rPr>
          <w:rFonts w:ascii="Arial" w:hAnsi="Arial" w:cs="Arial"/>
          <w:sz w:val="22"/>
          <w:szCs w:val="22"/>
        </w:rPr>
        <w:t>”</w:t>
      </w:r>
      <w:r w:rsidRPr="00093C31">
        <w:rPr>
          <w:rFonts w:ascii="Arial" w:hAnsi="Arial" w:cs="Arial"/>
          <w:sz w:val="22"/>
        </w:rPr>
        <w:t xml:space="preserve"> (same grey box on the left</w:t>
      </w:r>
      <w:r w:rsidRPr="00093C31">
        <w:rPr>
          <w:rFonts w:ascii="Arial" w:hAnsi="Arial" w:cs="Arial"/>
          <w:sz w:val="22"/>
          <w:szCs w:val="22"/>
        </w:rPr>
        <w:t>).</w:t>
      </w:r>
      <w:r w:rsidRPr="00093C31">
        <w:rPr>
          <w:rFonts w:ascii="Arial" w:hAnsi="Arial" w:cs="Arial"/>
          <w:sz w:val="22"/>
        </w:rPr>
        <w:t xml:space="preserve"> and click on it. Find 2014, 2015</w:t>
      </w:r>
      <w:r w:rsidRPr="00093C31">
        <w:rPr>
          <w:rFonts w:ascii="Arial" w:hAnsi="Arial" w:cs="Arial"/>
          <w:sz w:val="22"/>
          <w:szCs w:val="22"/>
        </w:rPr>
        <w:t xml:space="preserve"> and</w:t>
      </w:r>
      <w:r w:rsidRPr="00093C31">
        <w:rPr>
          <w:rFonts w:ascii="Arial" w:hAnsi="Arial" w:cs="Arial"/>
          <w:sz w:val="22"/>
        </w:rPr>
        <w:t xml:space="preserve"> 2016</w:t>
      </w:r>
      <w:r w:rsidRPr="00093C31">
        <w:rPr>
          <w:rFonts w:ascii="Arial" w:hAnsi="Arial" w:cs="Arial"/>
          <w:sz w:val="22"/>
          <w:szCs w:val="22"/>
        </w:rPr>
        <w:t>,</w:t>
      </w:r>
      <w:r w:rsidRPr="00093C31">
        <w:rPr>
          <w:rFonts w:ascii="Arial" w:hAnsi="Arial" w:cs="Arial"/>
          <w:sz w:val="22"/>
        </w:rPr>
        <w:t xml:space="preserve"> and click on the boxes. </w:t>
      </w:r>
    </w:p>
    <w:p w14:paraId="2147F61F" w14:textId="77777777" w:rsidR="00DD4A6B" w:rsidRPr="00093C31" w:rsidRDefault="00DD4A6B" w:rsidP="00DD4A6B">
      <w:pPr>
        <w:numPr>
          <w:ilvl w:val="1"/>
          <w:numId w:val="17"/>
        </w:numPr>
        <w:spacing w:after="120"/>
        <w:ind w:left="426" w:hanging="284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  <w:szCs w:val="22"/>
        </w:rPr>
        <w:t>Click</w:t>
      </w:r>
      <w:r w:rsidRPr="00093C31">
        <w:rPr>
          <w:rFonts w:ascii="Arial" w:hAnsi="Arial" w:cs="Arial"/>
          <w:sz w:val="22"/>
        </w:rPr>
        <w:t xml:space="preserve"> on </w:t>
      </w:r>
      <w:r w:rsidRPr="00093C31">
        <w:rPr>
          <w:rFonts w:ascii="Arial" w:hAnsi="Arial" w:cs="Arial"/>
          <w:sz w:val="22"/>
          <w:szCs w:val="22"/>
        </w:rPr>
        <w:t>“</w:t>
      </w:r>
      <w:r w:rsidRPr="00093C31">
        <w:rPr>
          <w:rFonts w:ascii="Arial" w:hAnsi="Arial" w:cs="Arial"/>
          <w:sz w:val="22"/>
        </w:rPr>
        <w:t>View data</w:t>
      </w:r>
      <w:r w:rsidRPr="00093C31">
        <w:rPr>
          <w:rFonts w:ascii="Arial" w:hAnsi="Arial" w:cs="Arial"/>
          <w:sz w:val="22"/>
          <w:szCs w:val="22"/>
        </w:rPr>
        <w:t>”,</w:t>
      </w:r>
      <w:r w:rsidRPr="00093C31">
        <w:rPr>
          <w:rFonts w:ascii="Arial" w:hAnsi="Arial" w:cs="Arial"/>
          <w:sz w:val="22"/>
        </w:rPr>
        <w:t xml:space="preserve"> and build </w:t>
      </w:r>
      <w:r w:rsidRPr="00093C31">
        <w:rPr>
          <w:rFonts w:ascii="Arial" w:hAnsi="Arial" w:cs="Arial"/>
          <w:sz w:val="22"/>
          <w:szCs w:val="22"/>
        </w:rPr>
        <w:t xml:space="preserve">a </w:t>
      </w:r>
      <w:r w:rsidRPr="00093C31">
        <w:rPr>
          <w:rFonts w:ascii="Arial" w:hAnsi="Arial" w:cs="Arial"/>
          <w:sz w:val="22"/>
        </w:rPr>
        <w:t xml:space="preserve">report. You should be able to download </w:t>
      </w:r>
      <w:r w:rsidRPr="00093C31">
        <w:rPr>
          <w:rFonts w:ascii="Arial" w:hAnsi="Arial" w:cs="Arial"/>
          <w:sz w:val="22"/>
          <w:szCs w:val="22"/>
        </w:rPr>
        <w:t>the data</w:t>
      </w:r>
      <w:r w:rsidRPr="00093C31">
        <w:rPr>
          <w:rFonts w:ascii="Arial" w:hAnsi="Arial" w:cs="Arial"/>
          <w:sz w:val="22"/>
        </w:rPr>
        <w:t xml:space="preserve"> in Excel or PDF. </w:t>
      </w:r>
    </w:p>
    <w:p w14:paraId="60B9D84E" w14:textId="77777777" w:rsidR="00DD4A6B" w:rsidRPr="00093C31" w:rsidRDefault="00DD4A6B" w:rsidP="00DD4A6B">
      <w:pPr>
        <w:numPr>
          <w:ilvl w:val="1"/>
          <w:numId w:val="17"/>
        </w:numPr>
        <w:spacing w:after="120"/>
        <w:ind w:left="426" w:hanging="284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</w:rPr>
        <w:t xml:space="preserve">Now try examining prioritization. For this, you </w:t>
      </w:r>
      <w:r w:rsidRPr="00093C31">
        <w:rPr>
          <w:rFonts w:ascii="Arial" w:hAnsi="Arial" w:cs="Arial"/>
          <w:sz w:val="22"/>
          <w:szCs w:val="22"/>
        </w:rPr>
        <w:t>should go</w:t>
      </w:r>
      <w:r w:rsidRPr="00093C31">
        <w:rPr>
          <w:rFonts w:ascii="Arial" w:hAnsi="Arial" w:cs="Arial"/>
          <w:sz w:val="22"/>
        </w:rPr>
        <w:t xml:space="preserve"> to </w:t>
      </w:r>
      <w:r w:rsidRPr="00093C31">
        <w:rPr>
          <w:rFonts w:ascii="Arial" w:hAnsi="Arial" w:cs="Arial"/>
          <w:sz w:val="22"/>
          <w:szCs w:val="22"/>
        </w:rPr>
        <w:t>“</w:t>
      </w:r>
      <w:r w:rsidRPr="00093C31">
        <w:rPr>
          <w:rFonts w:ascii="Arial" w:hAnsi="Arial" w:cs="Arial"/>
          <w:sz w:val="22"/>
        </w:rPr>
        <w:t>Indicators</w:t>
      </w:r>
      <w:r w:rsidRPr="00093C31">
        <w:rPr>
          <w:rFonts w:ascii="Arial" w:hAnsi="Arial" w:cs="Arial"/>
          <w:sz w:val="22"/>
          <w:szCs w:val="22"/>
        </w:rPr>
        <w:t>”,</w:t>
      </w:r>
      <w:r w:rsidRPr="00093C31">
        <w:rPr>
          <w:rFonts w:ascii="Arial" w:hAnsi="Arial" w:cs="Arial"/>
          <w:sz w:val="22"/>
        </w:rPr>
        <w:t xml:space="preserve"> then </w:t>
      </w:r>
      <w:r w:rsidRPr="00093C31">
        <w:rPr>
          <w:rFonts w:ascii="Arial" w:hAnsi="Arial" w:cs="Arial"/>
          <w:sz w:val="22"/>
          <w:szCs w:val="22"/>
        </w:rPr>
        <w:t>“</w:t>
      </w:r>
      <w:r w:rsidRPr="00093C31">
        <w:rPr>
          <w:rFonts w:ascii="Arial" w:hAnsi="Arial" w:cs="Arial"/>
          <w:sz w:val="22"/>
        </w:rPr>
        <w:t xml:space="preserve">Financing </w:t>
      </w:r>
      <w:r w:rsidRPr="00093C31">
        <w:rPr>
          <w:rFonts w:ascii="Arial" w:hAnsi="Arial" w:cs="Arial"/>
          <w:sz w:val="22"/>
          <w:szCs w:val="22"/>
        </w:rPr>
        <w:t>sources”</w:t>
      </w:r>
      <w:r w:rsidRPr="00093C31">
        <w:rPr>
          <w:rFonts w:ascii="Arial" w:hAnsi="Arial" w:cs="Arial"/>
          <w:sz w:val="22"/>
        </w:rPr>
        <w:t xml:space="preserve"> (not </w:t>
      </w:r>
      <w:r w:rsidRPr="00093C31">
        <w:rPr>
          <w:rFonts w:ascii="Arial" w:hAnsi="Arial" w:cs="Arial"/>
          <w:sz w:val="22"/>
          <w:szCs w:val="22"/>
        </w:rPr>
        <w:t>“</w:t>
      </w:r>
      <w:r w:rsidRPr="00093C31">
        <w:rPr>
          <w:rFonts w:ascii="Arial" w:hAnsi="Arial" w:cs="Arial"/>
          <w:sz w:val="22"/>
        </w:rPr>
        <w:t>Aggregates</w:t>
      </w:r>
      <w:r w:rsidRPr="00093C31">
        <w:rPr>
          <w:rFonts w:ascii="Arial" w:hAnsi="Arial" w:cs="Arial"/>
          <w:sz w:val="22"/>
          <w:szCs w:val="22"/>
        </w:rPr>
        <w:t>”).</w:t>
      </w:r>
      <w:r w:rsidRPr="00093C31">
        <w:rPr>
          <w:rFonts w:ascii="Arial" w:hAnsi="Arial" w:cs="Arial"/>
          <w:sz w:val="22"/>
        </w:rPr>
        <w:t xml:space="preserve"> Then</w:t>
      </w:r>
      <w:r w:rsidRPr="00093C31">
        <w:rPr>
          <w:rFonts w:ascii="Arial" w:hAnsi="Arial" w:cs="Arial"/>
          <w:sz w:val="22"/>
          <w:szCs w:val="22"/>
        </w:rPr>
        <w:t>,</w:t>
      </w:r>
      <w:r w:rsidRPr="00093C31">
        <w:rPr>
          <w:rFonts w:ascii="Arial" w:hAnsi="Arial" w:cs="Arial"/>
          <w:sz w:val="22"/>
        </w:rPr>
        <w:t xml:space="preserve"> go through the same steps as before.</w:t>
      </w:r>
    </w:p>
    <w:p w14:paraId="54AC0865" w14:textId="77777777" w:rsidR="00DD4A6B" w:rsidRPr="00093C31" w:rsidRDefault="00DD4A6B" w:rsidP="00DD4A6B">
      <w:pPr>
        <w:numPr>
          <w:ilvl w:val="1"/>
          <w:numId w:val="17"/>
        </w:numPr>
        <w:spacing w:after="120"/>
        <w:ind w:left="426" w:hanging="284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</w:rPr>
        <w:t>Now</w:t>
      </w:r>
      <w:r w:rsidRPr="00093C31">
        <w:rPr>
          <w:rFonts w:ascii="Arial" w:hAnsi="Arial" w:cs="Arial"/>
          <w:sz w:val="22"/>
          <w:szCs w:val="22"/>
        </w:rPr>
        <w:t>,</w:t>
      </w:r>
      <w:r w:rsidRPr="00093C31">
        <w:rPr>
          <w:rFonts w:ascii="Arial" w:hAnsi="Arial" w:cs="Arial"/>
          <w:sz w:val="22"/>
        </w:rPr>
        <w:t xml:space="preserve"> complete </w:t>
      </w:r>
      <w:r w:rsidRPr="00093C31">
        <w:rPr>
          <w:rFonts w:ascii="Arial" w:hAnsi="Arial" w:cs="Arial"/>
          <w:sz w:val="22"/>
          <w:szCs w:val="22"/>
        </w:rPr>
        <w:t>these steps</w:t>
      </w:r>
      <w:r w:rsidRPr="00093C31">
        <w:rPr>
          <w:rFonts w:ascii="Arial" w:hAnsi="Arial" w:cs="Arial"/>
          <w:sz w:val="22"/>
        </w:rPr>
        <w:t xml:space="preserve"> for the following indicators</w:t>
      </w:r>
      <w:r w:rsidRPr="00093C31">
        <w:rPr>
          <w:rFonts w:ascii="Arial" w:hAnsi="Arial" w:cs="Arial"/>
          <w:sz w:val="22"/>
          <w:szCs w:val="22"/>
        </w:rPr>
        <w:t>,</w:t>
      </w:r>
      <w:r w:rsidRPr="00093C31">
        <w:rPr>
          <w:rFonts w:ascii="Arial" w:hAnsi="Arial" w:cs="Arial"/>
          <w:sz w:val="22"/>
        </w:rPr>
        <w:t xml:space="preserve"> and create a table. </w:t>
      </w:r>
      <w:r w:rsidRPr="00093C31">
        <w:rPr>
          <w:rFonts w:ascii="Arial" w:hAnsi="Arial" w:cs="Arial"/>
          <w:sz w:val="22"/>
          <w:szCs w:val="22"/>
        </w:rPr>
        <w:t>List</w:t>
      </w:r>
      <w:r w:rsidRPr="00093C31">
        <w:rPr>
          <w:rFonts w:ascii="Arial" w:hAnsi="Arial" w:cs="Arial"/>
          <w:sz w:val="22"/>
        </w:rPr>
        <w:t xml:space="preserve"> a few </w:t>
      </w:r>
      <w:r w:rsidRPr="00093C31">
        <w:rPr>
          <w:rFonts w:ascii="Arial" w:hAnsi="Arial" w:cs="Arial"/>
          <w:sz w:val="22"/>
          <w:szCs w:val="22"/>
        </w:rPr>
        <w:t>bullet-points</w:t>
      </w:r>
      <w:r w:rsidRPr="00093C31">
        <w:rPr>
          <w:rFonts w:ascii="Arial" w:hAnsi="Arial" w:cs="Arial"/>
          <w:sz w:val="22"/>
        </w:rPr>
        <w:t xml:space="preserve"> on what the table tells you about (a) revenue</w:t>
      </w:r>
      <w:r w:rsidRPr="00093C31">
        <w:rPr>
          <w:rFonts w:ascii="Arial" w:hAnsi="Arial" w:cs="Arial"/>
          <w:sz w:val="22"/>
          <w:szCs w:val="22"/>
        </w:rPr>
        <w:t>-</w:t>
      </w:r>
      <w:r w:rsidRPr="00093C31">
        <w:rPr>
          <w:rFonts w:ascii="Arial" w:hAnsi="Arial" w:cs="Arial"/>
          <w:sz w:val="22"/>
        </w:rPr>
        <w:t xml:space="preserve">raising capacity, (b) prioritization of health spending in your country, (c) dependence on external assistance in health and (d) level of out-of-pocket spending. </w:t>
      </w:r>
    </w:p>
    <w:p w14:paraId="66CADF49" w14:textId="77777777" w:rsidR="00DD4A6B" w:rsidRPr="00093C31" w:rsidRDefault="00DD4A6B" w:rsidP="00DD4A6B">
      <w:pPr>
        <w:numPr>
          <w:ilvl w:val="2"/>
          <w:numId w:val="17"/>
        </w:numPr>
        <w:tabs>
          <w:tab w:val="clear" w:pos="2160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093C31">
        <w:rPr>
          <w:rFonts w:ascii="Arial" w:hAnsi="Arial" w:cs="Arial"/>
          <w:sz w:val="22"/>
          <w:szCs w:val="22"/>
        </w:rPr>
        <w:t>domestic general government health expenditure as a percentage of general government expenditure;</w:t>
      </w:r>
    </w:p>
    <w:p w14:paraId="0FE4D022" w14:textId="77777777" w:rsidR="00DD4A6B" w:rsidRPr="00093C31" w:rsidRDefault="00DD4A6B" w:rsidP="00DD4A6B">
      <w:pPr>
        <w:numPr>
          <w:ilvl w:val="2"/>
          <w:numId w:val="17"/>
        </w:numPr>
        <w:tabs>
          <w:tab w:val="clear" w:pos="2160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093C31">
        <w:rPr>
          <w:rFonts w:ascii="Arial" w:hAnsi="Arial" w:cs="Arial"/>
          <w:sz w:val="22"/>
          <w:szCs w:val="22"/>
        </w:rPr>
        <w:t>external health expenditure as a percentage of current health expenditure;</w:t>
      </w:r>
    </w:p>
    <w:p w14:paraId="58116F4F" w14:textId="77777777" w:rsidR="00DD4A6B" w:rsidRPr="00093C31" w:rsidRDefault="00DD4A6B" w:rsidP="00DD4A6B">
      <w:pPr>
        <w:numPr>
          <w:ilvl w:val="2"/>
          <w:numId w:val="17"/>
        </w:numPr>
        <w:tabs>
          <w:tab w:val="clear" w:pos="2160"/>
        </w:tabs>
        <w:ind w:left="709" w:hanging="283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  <w:szCs w:val="22"/>
        </w:rPr>
        <w:t>out</w:t>
      </w:r>
      <w:r w:rsidRPr="00093C31">
        <w:rPr>
          <w:rFonts w:ascii="Arial" w:hAnsi="Arial" w:cs="Arial"/>
          <w:sz w:val="22"/>
        </w:rPr>
        <w:t xml:space="preserve">-of-pocket </w:t>
      </w:r>
      <w:r w:rsidRPr="00093C31">
        <w:rPr>
          <w:rFonts w:ascii="Arial" w:hAnsi="Arial" w:cs="Arial"/>
          <w:sz w:val="22"/>
          <w:szCs w:val="22"/>
        </w:rPr>
        <w:t>spending</w:t>
      </w:r>
      <w:r w:rsidRPr="00093C31">
        <w:rPr>
          <w:rFonts w:ascii="Arial" w:hAnsi="Arial" w:cs="Arial"/>
          <w:sz w:val="22"/>
        </w:rPr>
        <w:t xml:space="preserve"> as </w:t>
      </w:r>
      <w:r w:rsidRPr="00093C31">
        <w:rPr>
          <w:rFonts w:ascii="Arial" w:hAnsi="Arial" w:cs="Arial"/>
          <w:sz w:val="22"/>
          <w:szCs w:val="22"/>
        </w:rPr>
        <w:t>a percentage of current health expenditure; and</w:t>
      </w:r>
    </w:p>
    <w:p w14:paraId="2FE80410" w14:textId="77777777" w:rsidR="00DD4A6B" w:rsidRPr="00093C31" w:rsidRDefault="00DD4A6B" w:rsidP="00DD4A6B">
      <w:pPr>
        <w:numPr>
          <w:ilvl w:val="2"/>
          <w:numId w:val="17"/>
        </w:numPr>
        <w:tabs>
          <w:tab w:val="clear" w:pos="2160"/>
        </w:tabs>
        <w:spacing w:after="120"/>
        <w:ind w:left="709" w:hanging="283"/>
        <w:jc w:val="both"/>
        <w:rPr>
          <w:rFonts w:ascii="Arial" w:hAnsi="Arial" w:cs="Arial"/>
          <w:sz w:val="22"/>
        </w:rPr>
      </w:pPr>
      <w:r w:rsidRPr="00093C31">
        <w:rPr>
          <w:rFonts w:ascii="Arial" w:hAnsi="Arial" w:cs="Arial"/>
          <w:sz w:val="22"/>
          <w:szCs w:val="22"/>
        </w:rPr>
        <w:t>general government expenditure</w:t>
      </w:r>
      <w:r w:rsidRPr="00093C31">
        <w:rPr>
          <w:rFonts w:ascii="Arial" w:hAnsi="Arial" w:cs="Arial"/>
          <w:sz w:val="22"/>
        </w:rPr>
        <w:t xml:space="preserve"> as </w:t>
      </w:r>
      <w:r w:rsidRPr="00093C31">
        <w:rPr>
          <w:rFonts w:ascii="Arial" w:hAnsi="Arial" w:cs="Arial"/>
          <w:sz w:val="22"/>
          <w:szCs w:val="22"/>
        </w:rPr>
        <w:t>a percentage</w:t>
      </w:r>
      <w:r w:rsidRPr="00093C31">
        <w:rPr>
          <w:rFonts w:ascii="Arial" w:hAnsi="Arial" w:cs="Arial"/>
          <w:sz w:val="22"/>
        </w:rPr>
        <w:t xml:space="preserve"> of GDP</w:t>
      </w:r>
      <w:r w:rsidRPr="00093C31">
        <w:rPr>
          <w:rFonts w:ascii="Arial" w:hAnsi="Arial" w:cs="Arial"/>
          <w:sz w:val="22"/>
          <w:szCs w:val="22"/>
        </w:rPr>
        <w:t>.</w:t>
      </w:r>
      <w:r w:rsidRPr="00093C31">
        <w:rPr>
          <w:rFonts w:ascii="Arial" w:hAnsi="Arial" w:cs="Arial"/>
          <w:sz w:val="22"/>
        </w:rPr>
        <w:t xml:space="preserve"> </w:t>
      </w:r>
    </w:p>
    <w:p w14:paraId="4684ED17" w14:textId="28A0D435" w:rsidR="00B45B06" w:rsidRPr="009A1B3E" w:rsidRDefault="00B45B06" w:rsidP="002A0F3F">
      <w:pPr>
        <w:spacing w:after="120"/>
        <w:jc w:val="both"/>
        <w:rPr>
          <w:rFonts w:ascii="Arial" w:hAnsi="Arial" w:cs="Arial"/>
          <w:sz w:val="22"/>
        </w:rPr>
      </w:pPr>
    </w:p>
    <w:sectPr w:rsidR="00B45B06" w:rsidRPr="009A1B3E" w:rsidSect="00EC272E">
      <w:headerReference w:type="default" r:id="rId8"/>
      <w:footerReference w:type="default" r:id="rId9"/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67016" w14:textId="77777777" w:rsidR="004E2586" w:rsidRDefault="004E2586" w:rsidP="00EC272E">
      <w:r>
        <w:separator/>
      </w:r>
    </w:p>
  </w:endnote>
  <w:endnote w:type="continuationSeparator" w:id="0">
    <w:p w14:paraId="458E6CCB" w14:textId="77777777" w:rsidR="004E2586" w:rsidRDefault="004E2586" w:rsidP="00EC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 (Body CS)">
    <w:altName w:val="Tahoma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ED0F4" w14:textId="77777777" w:rsidR="00600C8D" w:rsidRPr="0086169F" w:rsidRDefault="00600C8D" w:rsidP="00600C8D">
    <w:pPr>
      <w:rPr>
        <w:rFonts w:ascii="Arial" w:hAnsi="Arial" w:cs="Arial"/>
      </w:rPr>
    </w:pPr>
  </w:p>
  <w:p w14:paraId="49F31288" w14:textId="77777777" w:rsidR="00600C8D" w:rsidRDefault="00600C8D" w:rsidP="00600C8D"/>
  <w:tbl>
    <w:tblPr>
      <w:tblStyle w:val="TableGrid"/>
      <w:tblW w:w="0" w:type="auto"/>
      <w:tblBorders>
        <w:top w:val="single" w:sz="4" w:space="0" w:color="00807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5"/>
      <w:gridCol w:w="3943"/>
    </w:tblGrid>
    <w:tr w:rsidR="00600C8D" w14:paraId="07A00F58" w14:textId="77777777" w:rsidTr="00CE0880">
      <w:tc>
        <w:tcPr>
          <w:tcW w:w="4885" w:type="dxa"/>
        </w:tcPr>
        <w:p w14:paraId="0D1AC8D8" w14:textId="77777777" w:rsidR="00600C8D" w:rsidRPr="00910245" w:rsidRDefault="00600C8D" w:rsidP="00600C8D">
          <w:pPr>
            <w:rPr>
              <w:rFonts w:ascii="Arial" w:eastAsia="MS Gothic" w:hAnsi="Arial" w:cs="Arial"/>
              <w:b/>
              <w:color w:val="008080"/>
              <w:sz w:val="18"/>
              <w:szCs w:val="18"/>
            </w:rPr>
          </w:pPr>
        </w:p>
        <w:p w14:paraId="5797CD5A" w14:textId="77777777" w:rsidR="00600C8D" w:rsidRPr="00910245" w:rsidRDefault="00600C8D" w:rsidP="00600C8D">
          <w:pPr>
            <w:rPr>
              <w:rFonts w:ascii="Arial" w:hAnsi="Arial" w:cs="Arial"/>
              <w:color w:val="008080"/>
              <w:sz w:val="18"/>
              <w:szCs w:val="18"/>
            </w:rPr>
          </w:pPr>
          <w:r w:rsidRPr="00910245">
            <w:rPr>
              <w:rFonts w:ascii="Arial" w:eastAsia="MS Gothic" w:hAnsi="Arial" w:cs="Arial"/>
              <w:b/>
              <w:color w:val="008080"/>
              <w:sz w:val="18"/>
              <w:szCs w:val="18"/>
            </w:rPr>
            <w:t>Chapter 2. Core content for understanding universal health coverage and public budgets for health</w:t>
          </w:r>
        </w:p>
        <w:p w14:paraId="75ADC916" w14:textId="77777777" w:rsidR="00600C8D" w:rsidRPr="00910245" w:rsidRDefault="00600C8D" w:rsidP="00600C8D">
          <w:pPr>
            <w:pStyle w:val="Footer"/>
            <w:rPr>
              <w:rFonts w:ascii="Arial" w:hAnsi="Arial" w:cs="Arial"/>
              <w:b/>
              <w:bCs/>
              <w:color w:val="3CA5DD"/>
              <w:sz w:val="18"/>
              <w:szCs w:val="18"/>
            </w:rPr>
          </w:pPr>
        </w:p>
        <w:p w14:paraId="061411D9" w14:textId="20C0643F" w:rsidR="00600C8D" w:rsidRPr="00910245" w:rsidRDefault="00DB2A7E" w:rsidP="00600C8D">
          <w:pPr>
            <w:pStyle w:val="Footer"/>
            <w:rPr>
              <w:rFonts w:ascii="Arial" w:hAnsi="Arial" w:cs="Arial"/>
              <w:b/>
              <w:bCs/>
              <w:color w:val="3CA5DD"/>
            </w:rPr>
          </w:pPr>
          <w:r w:rsidRPr="00B26630">
            <w:rPr>
              <w:rFonts w:ascii="Arial" w:hAnsi="Arial" w:cs="Arial"/>
              <w:b/>
              <w:bCs/>
              <w:color w:val="3CA5DD"/>
              <w:sz w:val="18"/>
              <w:szCs w:val="18"/>
            </w:rPr>
            <w:t xml:space="preserve">Module 2. Introduction to public financing for health relevant for budget advocacy for universal health coverage </w:t>
          </w:r>
        </w:p>
      </w:tc>
      <w:tc>
        <w:tcPr>
          <w:tcW w:w="3943" w:type="dxa"/>
        </w:tcPr>
        <w:p w14:paraId="4AFD5FD6" w14:textId="77777777" w:rsidR="00600C8D" w:rsidRPr="00910245" w:rsidRDefault="00600C8D" w:rsidP="00D34792">
          <w:pPr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</w:pPr>
        </w:p>
        <w:p w14:paraId="797138E1" w14:textId="5F07CC48" w:rsidR="00600C8D" w:rsidRPr="00910245" w:rsidRDefault="00DB2A7E" w:rsidP="00D34792">
          <w:pPr>
            <w:rPr>
              <w:rFonts w:ascii="Arial" w:eastAsia="MS Gothic" w:hAnsi="Arial" w:cs="Arial"/>
              <w:b/>
              <w:color w:val="008080"/>
              <w:sz w:val="18"/>
              <w:szCs w:val="18"/>
            </w:rPr>
          </w:pPr>
          <w:r w:rsidRPr="00EA25C0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Section A. Introduction to public policy and its association with budgets in relation to universal health coverage</w:t>
          </w:r>
        </w:p>
      </w:tc>
    </w:tr>
  </w:tbl>
  <w:p w14:paraId="22796356" w14:textId="77777777" w:rsidR="00600C8D" w:rsidRPr="0086169F" w:rsidRDefault="00600C8D" w:rsidP="00600C8D">
    <w:pPr>
      <w:pStyle w:val="Footer"/>
      <w:jc w:val="right"/>
      <w:rPr>
        <w:rFonts w:ascii="Arial" w:hAnsi="Arial" w:cs="Arial"/>
        <w:b/>
        <w:bCs/>
        <w:color w:val="008080"/>
        <w:sz w:val="20"/>
        <w:szCs w:val="20"/>
      </w:rPr>
    </w:pPr>
    <w:r w:rsidRPr="0086169F">
      <w:rPr>
        <w:rFonts w:ascii="Arial" w:hAnsi="Arial" w:cs="Arial"/>
        <w:b/>
        <w:bCs/>
        <w:color w:val="008080"/>
        <w:sz w:val="20"/>
        <w:szCs w:val="20"/>
      </w:rPr>
      <w:fldChar w:fldCharType="begin"/>
    </w:r>
    <w:r w:rsidRPr="0086169F">
      <w:rPr>
        <w:rFonts w:ascii="Arial" w:hAnsi="Arial" w:cs="Arial"/>
        <w:b/>
        <w:bCs/>
        <w:color w:val="008080"/>
        <w:sz w:val="20"/>
        <w:szCs w:val="20"/>
      </w:rPr>
      <w:instrText xml:space="preserve"> PAGE   \* MERGEFORMAT </w:instrText>
    </w:r>
    <w:r w:rsidRPr="0086169F">
      <w:rPr>
        <w:rFonts w:ascii="Arial" w:hAnsi="Arial" w:cs="Arial"/>
        <w:b/>
        <w:bCs/>
        <w:color w:val="008080"/>
        <w:sz w:val="20"/>
        <w:szCs w:val="20"/>
      </w:rPr>
      <w:fldChar w:fldCharType="separate"/>
    </w:r>
    <w:r>
      <w:rPr>
        <w:rFonts w:ascii="Arial" w:hAnsi="Arial" w:cs="Arial"/>
        <w:b/>
        <w:bCs/>
        <w:color w:val="008080"/>
        <w:sz w:val="20"/>
        <w:szCs w:val="20"/>
      </w:rPr>
      <w:t>27</w:t>
    </w:r>
    <w:r w:rsidRPr="0086169F">
      <w:rPr>
        <w:rFonts w:ascii="Arial" w:hAnsi="Arial" w:cs="Arial"/>
        <w:b/>
        <w:bCs/>
        <w:color w:val="008080"/>
        <w:sz w:val="20"/>
        <w:szCs w:val="20"/>
      </w:rPr>
      <w:fldChar w:fldCharType="end"/>
    </w:r>
  </w:p>
  <w:p w14:paraId="53527D5D" w14:textId="53294A66" w:rsidR="00EC272E" w:rsidRDefault="00600C8D" w:rsidP="00600C8D">
    <w:pPr>
      <w:pStyle w:val="Footer"/>
      <w:tabs>
        <w:tab w:val="clear" w:pos="4680"/>
        <w:tab w:val="clear" w:pos="9360"/>
        <w:tab w:val="left" w:pos="1315"/>
      </w:tabs>
      <w:rPr>
        <w:rFonts w:ascii="Arial" w:hAnsi="Arial" w:cs="Arial"/>
      </w:rPr>
    </w:pPr>
    <w:r w:rsidRPr="0086169F">
      <w:rPr>
        <w:rFonts w:ascii="Arial" w:hAnsi="Arial" w:cs="Arial"/>
      </w:rPr>
      <w:tab/>
    </w:r>
  </w:p>
  <w:p w14:paraId="7217FAB3" w14:textId="77777777" w:rsidR="00600C8D" w:rsidRPr="00600C8D" w:rsidRDefault="00600C8D" w:rsidP="00600C8D">
    <w:pPr>
      <w:pStyle w:val="Footer"/>
      <w:tabs>
        <w:tab w:val="clear" w:pos="4680"/>
        <w:tab w:val="clear" w:pos="9360"/>
        <w:tab w:val="left" w:pos="1315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5ACB5" w14:textId="77777777" w:rsidR="004E2586" w:rsidRDefault="004E2586" w:rsidP="00EC272E">
      <w:r>
        <w:separator/>
      </w:r>
    </w:p>
  </w:footnote>
  <w:footnote w:type="continuationSeparator" w:id="0">
    <w:p w14:paraId="3B07D476" w14:textId="77777777" w:rsidR="004E2586" w:rsidRDefault="004E2586" w:rsidP="00EC2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6134"/>
    </w:tblGrid>
    <w:tr w:rsidR="00EC272E" w14:paraId="0F635AB7" w14:textId="77777777" w:rsidTr="00CE0880">
      <w:trPr>
        <w:trHeight w:val="1138"/>
      </w:trPr>
      <w:tc>
        <w:tcPr>
          <w:tcW w:w="2694" w:type="dxa"/>
          <w:tcBorders>
            <w:bottom w:val="single" w:sz="4" w:space="0" w:color="00807F"/>
          </w:tcBorders>
        </w:tcPr>
        <w:p w14:paraId="78509BE4" w14:textId="77777777" w:rsidR="00EC272E" w:rsidRDefault="00EC272E" w:rsidP="00EC272E">
          <w:pPr>
            <w:rPr>
              <w:rFonts w:cs="Arial"/>
              <w:b/>
              <w:color w:val="3CA5DD"/>
            </w:rPr>
          </w:pPr>
          <w:r>
            <w:rPr>
              <w:rFonts w:ascii="Arial" w:hAnsi="Arial" w:cs="Arial"/>
              <w:b/>
              <w:noProof/>
              <w:color w:val="008080"/>
              <w:sz w:val="48"/>
              <w:szCs w:val="48"/>
            </w:rPr>
            <w:drawing>
              <wp:anchor distT="0" distB="0" distL="114300" distR="114300" simplePos="0" relativeHeight="251659264" behindDoc="0" locked="0" layoutInCell="1" allowOverlap="1" wp14:anchorId="03848227" wp14:editId="0D81BCCE">
                <wp:simplePos x="0" y="0"/>
                <wp:positionH relativeFrom="column">
                  <wp:posOffset>-18415</wp:posOffset>
                </wp:positionH>
                <wp:positionV relativeFrom="paragraph">
                  <wp:posOffset>483235</wp:posOffset>
                </wp:positionV>
                <wp:extent cx="1102995" cy="312111"/>
                <wp:effectExtent l="0" t="0" r="1905" b="5715"/>
                <wp:wrapNone/>
                <wp:docPr id="34" name="Picture 34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Picture 24" descr="Text&#10;&#10;Description automatically generated with medium confidenc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2995" cy="3121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B20F1">
            <w:rPr>
              <w:rFonts w:cs="Arial"/>
              <w:b/>
              <w:noProof/>
              <w:color w:val="008080"/>
              <w:sz w:val="64"/>
              <w:szCs w:val="64"/>
            </w:rPr>
            <w:drawing>
              <wp:inline distT="0" distB="0" distL="0" distR="0" wp14:anchorId="4534EBE0" wp14:editId="1A49BD54">
                <wp:extent cx="1103235" cy="373487"/>
                <wp:effectExtent l="0" t="0" r="1905" b="0"/>
                <wp:docPr id="35" name="Picture 35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3" name="Picture 153" descr="Icon&#10;&#10;Description automatically generated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3235" cy="3734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4" w:type="dxa"/>
          <w:tcBorders>
            <w:bottom w:val="single" w:sz="4" w:space="0" w:color="00807F"/>
          </w:tcBorders>
        </w:tcPr>
        <w:p w14:paraId="47796E31" w14:textId="77777777" w:rsidR="00EC272E" w:rsidRDefault="00EC272E" w:rsidP="00EC272E">
          <w:pPr>
            <w:jc w:val="right"/>
            <w:rPr>
              <w:rFonts w:cs="Arial"/>
              <w:b/>
              <w:color w:val="008080"/>
            </w:rPr>
          </w:pPr>
        </w:p>
        <w:p w14:paraId="18852B17" w14:textId="77777777" w:rsidR="00EC272E" w:rsidRPr="006B56E7" w:rsidRDefault="00EC272E" w:rsidP="00EC272E">
          <w:pPr>
            <w:jc w:val="right"/>
            <w:rPr>
              <w:rFonts w:ascii="Arial" w:hAnsi="Arial" w:cs="Arial"/>
              <w:b/>
              <w:color w:val="008080"/>
            </w:rPr>
          </w:pPr>
          <w:r w:rsidRPr="006B56E7">
            <w:rPr>
              <w:rFonts w:ascii="Arial" w:hAnsi="Arial" w:cs="Arial"/>
              <w:b/>
              <w:color w:val="008080"/>
            </w:rPr>
            <w:t xml:space="preserve">Health budget literacy, advocacy and accountability for </w:t>
          </w:r>
          <w:r w:rsidRPr="00EC272E">
            <w:rPr>
              <w:rFonts w:ascii="Arial" w:hAnsi="Arial" w:cs="Arial"/>
              <w:b/>
              <w:color w:val="008080"/>
            </w:rPr>
            <w:t>universal</w:t>
          </w:r>
          <w:r w:rsidRPr="006B56E7">
            <w:rPr>
              <w:rFonts w:ascii="Arial" w:hAnsi="Arial" w:cs="Arial"/>
              <w:b/>
              <w:color w:val="008080"/>
            </w:rPr>
            <w:t xml:space="preserve"> health coverage</w:t>
          </w:r>
        </w:p>
        <w:p w14:paraId="47D2CA4D" w14:textId="77777777" w:rsidR="00EC272E" w:rsidRDefault="00EC272E" w:rsidP="00EC272E">
          <w:pPr>
            <w:jc w:val="right"/>
            <w:rPr>
              <w:rFonts w:ascii="Arial" w:hAnsi="Arial" w:cs="Arial"/>
              <w:b/>
              <w:color w:val="3CA5DD"/>
            </w:rPr>
          </w:pPr>
          <w:r w:rsidRPr="006B56E7">
            <w:rPr>
              <w:rFonts w:ascii="Arial" w:hAnsi="Arial" w:cs="Arial"/>
              <w:b/>
              <w:color w:val="3CA5DD"/>
            </w:rPr>
            <w:t>Toolkit for capacity-building</w:t>
          </w:r>
        </w:p>
        <w:p w14:paraId="7CA7C79B" w14:textId="77777777" w:rsidR="00EC272E" w:rsidRDefault="00EC272E" w:rsidP="00EC272E">
          <w:pPr>
            <w:jc w:val="right"/>
            <w:rPr>
              <w:rFonts w:cs="Arial"/>
              <w:b/>
              <w:color w:val="3CA5DD"/>
            </w:rPr>
          </w:pPr>
        </w:p>
        <w:p w14:paraId="4BA18B21" w14:textId="77777777" w:rsidR="00EC272E" w:rsidRDefault="00EC272E" w:rsidP="00EC272E">
          <w:pPr>
            <w:jc w:val="right"/>
            <w:rPr>
              <w:rFonts w:cs="Arial"/>
              <w:b/>
              <w:color w:val="3CA5DD"/>
            </w:rPr>
          </w:pPr>
        </w:p>
      </w:tc>
    </w:tr>
  </w:tbl>
  <w:p w14:paraId="2D9BFBCB" w14:textId="77777777" w:rsidR="00EC272E" w:rsidRDefault="00EC27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4F9C"/>
    <w:multiLevelType w:val="multilevel"/>
    <w:tmpl w:val="6152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657FF"/>
    <w:multiLevelType w:val="hybridMultilevel"/>
    <w:tmpl w:val="4524E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4461E7"/>
    <w:multiLevelType w:val="hybridMultilevel"/>
    <w:tmpl w:val="312E1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4381B"/>
    <w:multiLevelType w:val="hybridMultilevel"/>
    <w:tmpl w:val="28C223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D43EF"/>
    <w:multiLevelType w:val="hybridMultilevel"/>
    <w:tmpl w:val="E4D45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EE456B"/>
    <w:multiLevelType w:val="hybridMultilevel"/>
    <w:tmpl w:val="D76AB9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FF42D7"/>
    <w:multiLevelType w:val="hybridMultilevel"/>
    <w:tmpl w:val="EB941D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07780"/>
    <w:multiLevelType w:val="hybridMultilevel"/>
    <w:tmpl w:val="73364980"/>
    <w:lvl w:ilvl="0" w:tplc="E8A22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D63C5"/>
    <w:multiLevelType w:val="hybridMultilevel"/>
    <w:tmpl w:val="B1105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F3258"/>
    <w:multiLevelType w:val="hybridMultilevel"/>
    <w:tmpl w:val="2556C8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61210"/>
    <w:multiLevelType w:val="multilevel"/>
    <w:tmpl w:val="26C4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131C8C"/>
    <w:multiLevelType w:val="multilevel"/>
    <w:tmpl w:val="D6A8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A73C06"/>
    <w:multiLevelType w:val="hybridMultilevel"/>
    <w:tmpl w:val="07942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6441F"/>
    <w:multiLevelType w:val="multilevel"/>
    <w:tmpl w:val="57BA14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</w:rPr>
    </w:lvl>
  </w:abstractNum>
  <w:abstractNum w:abstractNumId="14" w15:restartNumberingAfterBreak="0">
    <w:nsid w:val="52CB02BA"/>
    <w:multiLevelType w:val="hybridMultilevel"/>
    <w:tmpl w:val="9962C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0685F"/>
    <w:multiLevelType w:val="multilevel"/>
    <w:tmpl w:val="4A6A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E578A1"/>
    <w:multiLevelType w:val="hybridMultilevel"/>
    <w:tmpl w:val="2776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3D93F5E"/>
    <w:multiLevelType w:val="hybridMultilevel"/>
    <w:tmpl w:val="4F76C9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3032F"/>
    <w:multiLevelType w:val="hybridMultilevel"/>
    <w:tmpl w:val="238CF9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BF76B1"/>
    <w:multiLevelType w:val="hybridMultilevel"/>
    <w:tmpl w:val="70828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C1321E"/>
    <w:multiLevelType w:val="hybridMultilevel"/>
    <w:tmpl w:val="7B2E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8"/>
  </w:num>
  <w:num w:numId="4">
    <w:abstractNumId w:val="20"/>
  </w:num>
  <w:num w:numId="5">
    <w:abstractNumId w:val="12"/>
  </w:num>
  <w:num w:numId="6">
    <w:abstractNumId w:val="13"/>
  </w:num>
  <w:num w:numId="7">
    <w:abstractNumId w:val="8"/>
  </w:num>
  <w:num w:numId="8">
    <w:abstractNumId w:val="19"/>
  </w:num>
  <w:num w:numId="9">
    <w:abstractNumId w:val="17"/>
  </w:num>
  <w:num w:numId="10">
    <w:abstractNumId w:val="6"/>
  </w:num>
  <w:num w:numId="11">
    <w:abstractNumId w:val="14"/>
  </w:num>
  <w:num w:numId="12">
    <w:abstractNumId w:val="7"/>
  </w:num>
  <w:num w:numId="13">
    <w:abstractNumId w:val="9"/>
  </w:num>
  <w:num w:numId="14">
    <w:abstractNumId w:val="3"/>
  </w:num>
  <w:num w:numId="15">
    <w:abstractNumId w:val="11"/>
  </w:num>
  <w:num w:numId="16">
    <w:abstractNumId w:val="0"/>
  </w:num>
  <w:num w:numId="17">
    <w:abstractNumId w:val="15"/>
  </w:num>
  <w:num w:numId="18">
    <w:abstractNumId w:val="10"/>
  </w:num>
  <w:num w:numId="19">
    <w:abstractNumId w:val="2"/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72E"/>
    <w:rsid w:val="00042CC5"/>
    <w:rsid w:val="000B1F5F"/>
    <w:rsid w:val="000D5BC0"/>
    <w:rsid w:val="002A0F3F"/>
    <w:rsid w:val="002D2BE4"/>
    <w:rsid w:val="003268F6"/>
    <w:rsid w:val="003D124A"/>
    <w:rsid w:val="00431272"/>
    <w:rsid w:val="004334AD"/>
    <w:rsid w:val="004A24BB"/>
    <w:rsid w:val="004E2586"/>
    <w:rsid w:val="005359DA"/>
    <w:rsid w:val="005C14A4"/>
    <w:rsid w:val="00600C8D"/>
    <w:rsid w:val="00622202"/>
    <w:rsid w:val="007249A2"/>
    <w:rsid w:val="00784F91"/>
    <w:rsid w:val="007A4CB0"/>
    <w:rsid w:val="007B1413"/>
    <w:rsid w:val="007E23C4"/>
    <w:rsid w:val="00834291"/>
    <w:rsid w:val="008603E3"/>
    <w:rsid w:val="00896C8C"/>
    <w:rsid w:val="00953035"/>
    <w:rsid w:val="009A1B3E"/>
    <w:rsid w:val="00A0194E"/>
    <w:rsid w:val="00A431D5"/>
    <w:rsid w:val="00B45B06"/>
    <w:rsid w:val="00D1217B"/>
    <w:rsid w:val="00D34792"/>
    <w:rsid w:val="00DB2A7E"/>
    <w:rsid w:val="00DC29BE"/>
    <w:rsid w:val="00DD4A6B"/>
    <w:rsid w:val="00EA42DB"/>
    <w:rsid w:val="00EC272E"/>
    <w:rsid w:val="00EE5FBC"/>
    <w:rsid w:val="00F6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0ABE3"/>
  <w15:chartTrackingRefBased/>
  <w15:docId w15:val="{0DC45A1E-7372-BC45-9040-348B3157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EC272E"/>
    <w:pPr>
      <w:outlineLvl w:val="0"/>
    </w:pPr>
    <w:rPr>
      <w:color w:val="008080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27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C272E"/>
    <w:pPr>
      <w:spacing w:after="120"/>
      <w:jc w:val="both"/>
      <w:outlineLvl w:val="2"/>
    </w:pPr>
    <w:rPr>
      <w:rFonts w:ascii="Arial" w:eastAsia="MS Mincho" w:hAnsi="Arial" w:cs="Arial"/>
      <w:b/>
      <w:color w:val="3CA5DD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EC272E"/>
    <w:pPr>
      <w:spacing w:after="120"/>
      <w:jc w:val="both"/>
      <w:outlineLvl w:val="3"/>
    </w:pPr>
    <w:rPr>
      <w:rFonts w:ascii="Arial" w:eastAsia="MS Mincho" w:hAnsi="Arial" w:cs="Arial"/>
      <w:b/>
      <w:iCs/>
      <w:color w:val="3CA5DD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A0194E"/>
    <w:pPr>
      <w:tabs>
        <w:tab w:val="left" w:pos="630"/>
        <w:tab w:val="right" w:pos="10070"/>
      </w:tabs>
      <w:spacing w:before="360" w:line="274" w:lineRule="auto"/>
    </w:pPr>
    <w:rPr>
      <w:rFonts w:ascii="Arial" w:hAnsi="Arial" w:cs="Tahoma (Body CS)"/>
      <w:bCs/>
      <w:noProof/>
      <w:color w:val="013147"/>
      <w:sz w:val="28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210"/>
    </w:pPr>
    <w:rPr>
      <w:rFonts w:ascii="Arial" w:hAnsi="Arial"/>
      <w:color w:val="6E9AC7"/>
      <w:sz w:val="20"/>
      <w:szCs w:val="20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420"/>
    </w:pPr>
    <w:rPr>
      <w:rFonts w:ascii="Arial" w:hAnsi="Arial"/>
      <w:color w:val="6E9AC7"/>
      <w:sz w:val="20"/>
      <w:szCs w:val="20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629"/>
    </w:pPr>
    <w:rPr>
      <w:rFonts w:ascii="Arial" w:hAnsi="Arial"/>
      <w:color w:val="6E9AC7"/>
      <w:sz w:val="20"/>
      <w:szCs w:val="20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839"/>
    </w:pPr>
    <w:rPr>
      <w:rFonts w:ascii="Arial" w:hAnsi="Arial"/>
      <w:color w:val="6E9AC7"/>
      <w:sz w:val="20"/>
      <w:szCs w:val="20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1049"/>
    </w:pPr>
    <w:rPr>
      <w:rFonts w:ascii="Arial" w:hAnsi="Arial"/>
      <w:color w:val="6E9AC7"/>
      <w:sz w:val="20"/>
      <w:szCs w:val="20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1259"/>
    </w:pPr>
    <w:rPr>
      <w:rFonts w:ascii="Arial" w:hAnsi="Arial"/>
      <w:color w:val="6E9AC7"/>
      <w:sz w:val="20"/>
      <w:szCs w:val="20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qFormat/>
    <w:rsid w:val="00A0194E"/>
    <w:pPr>
      <w:spacing w:before="120" w:line="274" w:lineRule="auto"/>
      <w:ind w:left="1469"/>
    </w:pPr>
    <w:rPr>
      <w:rFonts w:ascii="Arial" w:hAnsi="Arial"/>
      <w:color w:val="6E9AC7"/>
      <w:sz w:val="20"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0194E"/>
    <w:pPr>
      <w:spacing w:before="240" w:line="274" w:lineRule="auto"/>
    </w:pPr>
    <w:rPr>
      <w:rFonts w:ascii="Arial" w:hAnsi="Arial" w:cs="Tahoma (Body CS)"/>
      <w:bCs/>
      <w:color w:val="013147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C272E"/>
    <w:rPr>
      <w:rFonts w:ascii="Arial" w:eastAsia="MS Mincho" w:hAnsi="Arial" w:cs="Arial"/>
      <w:b/>
      <w:color w:val="3CA5DD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C272E"/>
    <w:rPr>
      <w:rFonts w:ascii="Arial" w:eastAsia="MS Mincho" w:hAnsi="Arial" w:cs="Arial"/>
      <w:b/>
      <w:iCs/>
      <w:color w:val="3CA5DD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EC272E"/>
    <w:rPr>
      <w:rFonts w:ascii="Arial" w:eastAsia="MS Mincho" w:hAnsi="Arial" w:cs="Times New Roman"/>
      <w:color w:val="767171"/>
      <w:sz w:val="18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C272E"/>
    <w:rPr>
      <w:rFonts w:ascii="Arial" w:eastAsia="MS Mincho" w:hAnsi="Arial" w:cs="Times New Roman"/>
      <w:color w:val="767171"/>
      <w:sz w:val="18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EC272E"/>
    <w:rPr>
      <w:vertAlign w:val="superscript"/>
    </w:rPr>
  </w:style>
  <w:style w:type="paragraph" w:customStyle="1" w:styleId="TableHeadings">
    <w:name w:val="Table Headings"/>
    <w:basedOn w:val="Normal"/>
    <w:qFormat/>
    <w:rsid w:val="00EC272E"/>
    <w:rPr>
      <w:rFonts w:ascii="Arial" w:eastAsia="MS Mincho" w:hAnsi="Arial" w:cs="Arial"/>
      <w:b/>
      <w:bCs/>
      <w:iCs/>
      <w:color w:val="FFFFFF" w:themeColor="background1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C27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72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C27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72E"/>
    <w:rPr>
      <w:rFonts w:eastAsiaTheme="minorEastAsia"/>
    </w:rPr>
  </w:style>
  <w:style w:type="table" w:styleId="TableGrid">
    <w:name w:val="Table Grid"/>
    <w:basedOn w:val="TableNormal"/>
    <w:uiPriority w:val="59"/>
    <w:rsid w:val="00EC272E"/>
    <w:rPr>
      <w:rFonts w:ascii="Garamond" w:eastAsia="Times New Roman" w:hAnsi="Garamond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EC27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C272E"/>
    <w:rPr>
      <w:rFonts w:ascii="Arial" w:eastAsia="MS Mincho" w:hAnsi="Arial" w:cs="Arial"/>
      <w:b/>
      <w:color w:val="008080"/>
      <w:sz w:val="44"/>
      <w:szCs w:val="44"/>
      <w:lang w:val="en-GB"/>
    </w:rPr>
  </w:style>
  <w:style w:type="character" w:styleId="Hyperlink">
    <w:name w:val="Hyperlink"/>
    <w:basedOn w:val="DefaultParagraphFont"/>
    <w:uiPriority w:val="99"/>
    <w:unhideWhenUsed/>
    <w:rsid w:val="00F64B31"/>
    <w:rPr>
      <w:color w:val="3CA5DD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DC29B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249A2"/>
    <w:pPr>
      <w:ind w:left="720"/>
    </w:pPr>
    <w:rPr>
      <w:rFonts w:ascii="Times New Roman" w:eastAsia="MS Mincho" w:hAnsi="Times New Roman" w:cs="Times New Roman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A24BB"/>
    <w:rPr>
      <w:rFonts w:ascii="Times New Roman" w:eastAsia="MS Mincho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24BB"/>
    <w:rPr>
      <w:rFonts w:ascii="Times New Roman" w:eastAsia="MS Mincho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pps.who.int/nha/databa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Schroeter</dc:creator>
  <cp:keywords/>
  <dc:description/>
  <cp:lastModifiedBy>SKARPHEDINSDOTTIR, Maria</cp:lastModifiedBy>
  <cp:revision>3</cp:revision>
  <dcterms:created xsi:type="dcterms:W3CDTF">2021-05-17T19:31:00Z</dcterms:created>
  <dcterms:modified xsi:type="dcterms:W3CDTF">2021-09-02T08:47:00Z</dcterms:modified>
</cp:coreProperties>
</file>