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D6C8D" w14:textId="31739B1D" w:rsidR="003065AE" w:rsidRPr="00093C31" w:rsidRDefault="003065AE" w:rsidP="003065AE">
      <w:pPr>
        <w:pStyle w:val="Heading1"/>
        <w:jc w:val="left"/>
      </w:pPr>
      <w:bookmarkStart w:id="0" w:name="_Toc72157320"/>
      <w:r w:rsidRPr="00093C31">
        <w:t>B2. What is the public budget, and why is it relevant?</w:t>
      </w:r>
      <w:bookmarkEnd w:id="0"/>
    </w:p>
    <w:p w14:paraId="4ED4DEBD" w14:textId="77777777" w:rsidR="003065AE" w:rsidRDefault="003065AE" w:rsidP="003065AE">
      <w:pPr>
        <w:spacing w:after="120"/>
        <w:jc w:val="both"/>
        <w:rPr>
          <w:rFonts w:ascii="Arial" w:hAnsi="Arial" w:cs="Arial"/>
          <w:sz w:val="22"/>
          <w:szCs w:val="22"/>
        </w:rPr>
      </w:pPr>
    </w:p>
    <w:p w14:paraId="65FA23A7" w14:textId="3B1279BB" w:rsidR="003065AE" w:rsidRDefault="003065AE" w:rsidP="003065AE">
      <w:pPr>
        <w:spacing w:after="120"/>
        <w:jc w:val="both"/>
        <w:rPr>
          <w:rFonts w:ascii="Arial" w:hAnsi="Arial" w:cs="Arial"/>
          <w:sz w:val="22"/>
          <w:szCs w:val="22"/>
        </w:rPr>
      </w:pPr>
      <w:r w:rsidRPr="00093C31">
        <w:rPr>
          <w:rFonts w:ascii="Arial" w:hAnsi="Arial" w:cs="Arial"/>
          <w:sz w:val="22"/>
          <w:szCs w:val="22"/>
        </w:rPr>
        <w:t xml:space="preserve">A </w:t>
      </w:r>
      <w:r w:rsidRPr="00093C31">
        <w:rPr>
          <w:rFonts w:ascii="Arial" w:hAnsi="Arial" w:cs="Arial"/>
          <w:sz w:val="22"/>
        </w:rPr>
        <w:t xml:space="preserve">budget is </w:t>
      </w:r>
      <w:r w:rsidRPr="00093C31">
        <w:rPr>
          <w:rFonts w:ascii="Arial" w:hAnsi="Arial" w:cs="Arial"/>
          <w:sz w:val="22"/>
          <w:szCs w:val="22"/>
        </w:rPr>
        <w:t xml:space="preserve">generally considered to be an </w:t>
      </w:r>
      <w:r w:rsidRPr="00093C31">
        <w:rPr>
          <w:rFonts w:ascii="Arial" w:hAnsi="Arial" w:cs="Arial"/>
          <w:sz w:val="22"/>
        </w:rPr>
        <w:t xml:space="preserve">action plan for </w:t>
      </w:r>
      <w:r w:rsidRPr="00093C31">
        <w:rPr>
          <w:rFonts w:ascii="Arial" w:hAnsi="Arial" w:cs="Arial"/>
          <w:sz w:val="22"/>
          <w:szCs w:val="22"/>
        </w:rPr>
        <w:t xml:space="preserve">spending in the </w:t>
      </w:r>
      <w:r w:rsidRPr="00093C31">
        <w:rPr>
          <w:rFonts w:ascii="Arial" w:hAnsi="Arial" w:cs="Arial"/>
          <w:sz w:val="22"/>
        </w:rPr>
        <w:t xml:space="preserve">future </w:t>
      </w:r>
      <w:r w:rsidRPr="00093C31">
        <w:rPr>
          <w:rFonts w:ascii="Arial" w:hAnsi="Arial" w:cs="Arial"/>
          <w:sz w:val="22"/>
          <w:szCs w:val="22"/>
        </w:rPr>
        <w:t xml:space="preserve">according to </w:t>
      </w:r>
      <w:r w:rsidRPr="00093C31">
        <w:rPr>
          <w:rFonts w:ascii="Arial" w:hAnsi="Arial" w:cs="Arial"/>
          <w:sz w:val="22"/>
        </w:rPr>
        <w:t xml:space="preserve">the income </w:t>
      </w:r>
      <w:r w:rsidRPr="00093C31">
        <w:rPr>
          <w:rFonts w:ascii="Arial" w:hAnsi="Arial" w:cs="Arial"/>
          <w:sz w:val="22"/>
          <w:szCs w:val="22"/>
        </w:rPr>
        <w:t>expected. Governments</w:t>
      </w:r>
      <w:r w:rsidRPr="00093C31">
        <w:rPr>
          <w:rFonts w:ascii="Arial" w:hAnsi="Arial" w:cs="Arial"/>
          <w:sz w:val="22"/>
        </w:rPr>
        <w:t xml:space="preserve"> must </w:t>
      </w:r>
      <w:r w:rsidRPr="00093C31">
        <w:rPr>
          <w:rFonts w:ascii="Arial" w:hAnsi="Arial" w:cs="Arial"/>
          <w:sz w:val="22"/>
          <w:szCs w:val="22"/>
        </w:rPr>
        <w:t xml:space="preserve">therefore </w:t>
      </w:r>
      <w:r w:rsidRPr="00093C31">
        <w:rPr>
          <w:rFonts w:ascii="Arial" w:hAnsi="Arial" w:cs="Arial"/>
          <w:sz w:val="22"/>
        </w:rPr>
        <w:t xml:space="preserve">calculate the total amount of money they </w:t>
      </w:r>
      <w:r w:rsidRPr="00093C31">
        <w:rPr>
          <w:rFonts w:ascii="Arial" w:hAnsi="Arial" w:cs="Arial"/>
          <w:sz w:val="22"/>
          <w:szCs w:val="22"/>
        </w:rPr>
        <w:t>wish</w:t>
      </w:r>
      <w:r w:rsidRPr="00093C31">
        <w:rPr>
          <w:rFonts w:ascii="Arial" w:hAnsi="Arial" w:cs="Arial"/>
          <w:sz w:val="22"/>
        </w:rPr>
        <w:t xml:space="preserve"> to spend on schools, hospitals, roads</w:t>
      </w:r>
      <w:r w:rsidRPr="00093C31">
        <w:rPr>
          <w:rFonts w:ascii="Arial" w:hAnsi="Arial" w:cs="Arial"/>
          <w:sz w:val="22"/>
          <w:szCs w:val="22"/>
        </w:rPr>
        <w:t xml:space="preserve"> and</w:t>
      </w:r>
      <w:r w:rsidRPr="00093C31">
        <w:rPr>
          <w:rFonts w:ascii="Arial" w:hAnsi="Arial" w:cs="Arial"/>
          <w:sz w:val="22"/>
        </w:rPr>
        <w:t xml:space="preserve"> salaries throughout the year. A national budget is arguably one of the most important public documents, as it </w:t>
      </w:r>
      <w:r w:rsidRPr="00093C31">
        <w:rPr>
          <w:rFonts w:ascii="Arial" w:hAnsi="Arial" w:cs="Arial"/>
          <w:sz w:val="22"/>
          <w:szCs w:val="22"/>
        </w:rPr>
        <w:t>is a translation of</w:t>
      </w:r>
      <w:r w:rsidRPr="00093C31">
        <w:rPr>
          <w:rFonts w:ascii="Arial" w:hAnsi="Arial" w:cs="Arial"/>
          <w:sz w:val="22"/>
        </w:rPr>
        <w:t xml:space="preserve"> a country’s national development goals into annual spending plans. Budgets are the medium through which policies are funded and executed and, in turn, activities </w:t>
      </w:r>
      <w:r w:rsidRPr="00093C31">
        <w:rPr>
          <w:rFonts w:ascii="Arial" w:hAnsi="Arial" w:cs="Arial"/>
          <w:sz w:val="22"/>
          <w:szCs w:val="22"/>
        </w:rPr>
        <w:t xml:space="preserve">to </w:t>
      </w:r>
      <w:r w:rsidRPr="00093C31">
        <w:rPr>
          <w:rFonts w:ascii="Arial" w:hAnsi="Arial" w:cs="Arial"/>
          <w:sz w:val="22"/>
        </w:rPr>
        <w:t xml:space="preserve">support selected priorities are delivered. The development, implementation and reporting of the budget all require technical understanding of the PFM process. In addition, as budget outcomes </w:t>
      </w:r>
      <w:r w:rsidRPr="00093C31">
        <w:rPr>
          <w:rFonts w:ascii="Arial" w:hAnsi="Arial" w:cs="Arial"/>
          <w:sz w:val="22"/>
          <w:szCs w:val="22"/>
        </w:rPr>
        <w:t>also may</w:t>
      </w:r>
      <w:r w:rsidRPr="00093C31">
        <w:rPr>
          <w:rFonts w:ascii="Arial" w:hAnsi="Arial" w:cs="Arial"/>
          <w:sz w:val="22"/>
        </w:rPr>
        <w:t xml:space="preserve"> depend on political as economic factors, it is also important to understand the politics of the budget cycle</w:t>
      </w:r>
      <w:r w:rsidRPr="00093C31">
        <w:rPr>
          <w:rFonts w:ascii="Arial" w:hAnsi="Arial" w:cs="Arial"/>
          <w:sz w:val="22"/>
          <w:szCs w:val="22"/>
        </w:rPr>
        <w:t xml:space="preserve"> </w:t>
      </w:r>
      <w:r w:rsidRPr="00093C31">
        <w:rPr>
          <w:rFonts w:ascii="Arial" w:hAnsi="Arial" w:cs="Arial"/>
          <w:i/>
          <w:sz w:val="22"/>
          <w:szCs w:val="22"/>
        </w:rPr>
        <w:t>(54)</w:t>
      </w:r>
      <w:r w:rsidRPr="00093C31">
        <w:rPr>
          <w:rFonts w:ascii="Arial" w:hAnsi="Arial" w:cs="Arial"/>
          <w:sz w:val="22"/>
          <w:szCs w:val="22"/>
        </w:rPr>
        <w:t>.</w:t>
      </w:r>
    </w:p>
    <w:p w14:paraId="4836B3FB" w14:textId="77777777" w:rsidR="003065AE" w:rsidRPr="00093C31" w:rsidRDefault="003065AE" w:rsidP="003065AE">
      <w:pPr>
        <w:spacing w:after="120"/>
        <w:jc w:val="both"/>
        <w:rPr>
          <w:rFonts w:ascii="Arial" w:hAnsi="Arial" w:cs="Arial"/>
          <w:sz w:val="22"/>
        </w:rPr>
      </w:pPr>
      <w:r w:rsidRPr="00E678F7">
        <w:rPr>
          <w:rFonts w:ascii="Arial" w:hAnsi="Arial" w:cs="Arial"/>
          <w:sz w:val="22"/>
        </w:rPr>
        <w:t xml:space="preserve">WHO </w:t>
      </w:r>
      <w:r>
        <w:rPr>
          <w:rFonts w:ascii="Arial" w:hAnsi="Arial" w:cs="Arial"/>
          <w:sz w:val="22"/>
        </w:rPr>
        <w:t>has</w:t>
      </w:r>
      <w:r w:rsidRPr="00E678F7">
        <w:rPr>
          <w:rFonts w:ascii="Arial" w:hAnsi="Arial" w:cs="Arial"/>
          <w:sz w:val="22"/>
        </w:rPr>
        <w:t xml:space="preserve"> collated key PFM resources to raise understanding and awareness on the role of PFM rules and processes</w:t>
      </w:r>
      <w:r>
        <w:rPr>
          <w:rFonts w:ascii="Arial" w:hAnsi="Arial" w:cs="Arial"/>
          <w:sz w:val="22"/>
        </w:rPr>
        <w:t xml:space="preserve"> for health </w:t>
      </w:r>
      <w:proofErr w:type="gramStart"/>
      <w:r>
        <w:rPr>
          <w:rFonts w:ascii="Arial" w:hAnsi="Arial" w:cs="Arial"/>
          <w:sz w:val="22"/>
        </w:rPr>
        <w:t>spending</w:t>
      </w:r>
      <w:r w:rsidRPr="00E678F7">
        <w:rPr>
          <w:rFonts w:ascii="Arial" w:hAnsi="Arial" w:cs="Arial"/>
          <w:sz w:val="22"/>
        </w:rPr>
        <w:t>.</w:t>
      </w:r>
      <w:proofErr w:type="gramEnd"/>
      <w:r w:rsidRPr="00E678F7">
        <w:rPr>
          <w:rFonts w:ascii="Arial" w:hAnsi="Arial" w:cs="Arial"/>
          <w:sz w:val="22"/>
        </w:rPr>
        <w:t xml:space="preserve"> </w:t>
      </w:r>
      <w:hyperlink r:id="rId7" w:history="1">
        <w:r w:rsidRPr="00E678F7">
          <w:rPr>
            <w:rStyle w:val="Hyperlink"/>
            <w:rFonts w:ascii="Arial" w:hAnsi="Arial" w:cs="Arial"/>
            <w:sz w:val="22"/>
          </w:rPr>
          <w:t>The resource portal on PFM for health</w:t>
        </w:r>
      </w:hyperlink>
      <w:r w:rsidRPr="00E678F7">
        <w:rPr>
          <w:rFonts w:ascii="Arial" w:hAnsi="Arial" w:cs="Arial"/>
          <w:sz w:val="22"/>
        </w:rPr>
        <w:t xml:space="preserve"> contains various types of materials (working papers, policy briefs, audio files, video podcasts) produced by a range of partners and experts (IMF, World Bank, WHO, OECD, IBP, CABRI). The materials are all available online and easy-to-use for self-learning</w:t>
      </w:r>
    </w:p>
    <w:p w14:paraId="75A376C0" w14:textId="77777777" w:rsidR="003065AE" w:rsidRPr="00093C31" w:rsidRDefault="003065AE" w:rsidP="003065AE">
      <w:pPr>
        <w:spacing w:after="120"/>
        <w:jc w:val="both"/>
        <w:rPr>
          <w:rFonts w:ascii="Arial" w:hAnsi="Arial" w:cs="Arial"/>
          <w:sz w:val="22"/>
        </w:rPr>
      </w:pPr>
      <w:r w:rsidRPr="00093C31">
        <w:rPr>
          <w:rFonts w:ascii="Arial" w:hAnsi="Arial" w:cs="Arial"/>
          <w:sz w:val="22"/>
        </w:rPr>
        <w:t xml:space="preserve">Knowledge </w:t>
      </w:r>
      <w:r w:rsidRPr="00093C31">
        <w:rPr>
          <w:rFonts w:ascii="Arial" w:hAnsi="Arial" w:cs="Arial"/>
          <w:sz w:val="22"/>
          <w:szCs w:val="22"/>
        </w:rPr>
        <w:t>of</w:t>
      </w:r>
      <w:r w:rsidRPr="00093C31">
        <w:rPr>
          <w:rFonts w:ascii="Arial" w:hAnsi="Arial" w:cs="Arial"/>
          <w:sz w:val="22"/>
        </w:rPr>
        <w:t xml:space="preserve"> the workings of the budget and the broader PFM system in a country help </w:t>
      </w:r>
      <w:r w:rsidRPr="00093C31">
        <w:rPr>
          <w:rFonts w:ascii="Arial" w:hAnsi="Arial" w:cs="Arial"/>
          <w:sz w:val="22"/>
          <w:szCs w:val="22"/>
        </w:rPr>
        <w:t>to</w:t>
      </w:r>
      <w:r w:rsidRPr="00093C31">
        <w:rPr>
          <w:rFonts w:ascii="Arial" w:hAnsi="Arial" w:cs="Arial"/>
          <w:sz w:val="22"/>
        </w:rPr>
        <w:t xml:space="preserve"> understand why resources are spent on certain things and in certain ways and then </w:t>
      </w:r>
      <w:r w:rsidRPr="00093C31">
        <w:rPr>
          <w:rFonts w:ascii="Arial" w:hAnsi="Arial" w:cs="Arial"/>
          <w:sz w:val="22"/>
          <w:szCs w:val="22"/>
        </w:rPr>
        <w:t xml:space="preserve">to </w:t>
      </w:r>
      <w:r w:rsidRPr="00093C31">
        <w:rPr>
          <w:rFonts w:ascii="Arial" w:hAnsi="Arial" w:cs="Arial"/>
          <w:sz w:val="22"/>
        </w:rPr>
        <w:t xml:space="preserve">find mechanisms to influence the process and decisions that lead to spending on these </w:t>
      </w:r>
      <w:r w:rsidRPr="00093C31">
        <w:rPr>
          <w:rFonts w:ascii="Arial" w:hAnsi="Arial" w:cs="Arial"/>
          <w:sz w:val="22"/>
          <w:szCs w:val="22"/>
        </w:rPr>
        <w:t>“things”</w:t>
      </w:r>
      <w:r w:rsidRPr="00093C31">
        <w:rPr>
          <w:rFonts w:ascii="Arial" w:hAnsi="Arial" w:cs="Arial"/>
          <w:sz w:val="22"/>
        </w:rPr>
        <w:t xml:space="preserve"> and </w:t>
      </w:r>
      <w:r w:rsidRPr="00093C31">
        <w:rPr>
          <w:rFonts w:ascii="Arial" w:hAnsi="Arial" w:cs="Arial"/>
          <w:sz w:val="22"/>
          <w:szCs w:val="22"/>
        </w:rPr>
        <w:t xml:space="preserve">“ways” </w:t>
      </w:r>
      <w:r w:rsidRPr="00093C31">
        <w:rPr>
          <w:rFonts w:ascii="Arial" w:hAnsi="Arial" w:cs="Arial"/>
          <w:i/>
          <w:sz w:val="22"/>
          <w:szCs w:val="22"/>
        </w:rPr>
        <w:t>(54)</w:t>
      </w:r>
      <w:r w:rsidRPr="00093C31">
        <w:rPr>
          <w:rFonts w:ascii="Arial" w:hAnsi="Arial" w:cs="Arial"/>
          <w:sz w:val="22"/>
          <w:szCs w:val="22"/>
        </w:rPr>
        <w:t>.</w:t>
      </w:r>
      <w:r w:rsidRPr="00093C31">
        <w:rPr>
          <w:rFonts w:ascii="Arial" w:hAnsi="Arial" w:cs="Arial"/>
          <w:sz w:val="22"/>
        </w:rPr>
        <w:t xml:space="preserve"> </w:t>
      </w:r>
    </w:p>
    <w:p w14:paraId="1B0FAA66" w14:textId="77777777" w:rsidR="003065AE" w:rsidRPr="00093C31" w:rsidRDefault="003065AE" w:rsidP="003065AE">
      <w:pPr>
        <w:spacing w:after="120"/>
        <w:jc w:val="both"/>
        <w:rPr>
          <w:rFonts w:ascii="Arial" w:hAnsi="Arial" w:cs="Arial"/>
          <w:sz w:val="22"/>
        </w:rPr>
      </w:pPr>
      <w:r w:rsidRPr="00093C31">
        <w:rPr>
          <w:rFonts w:ascii="Arial" w:hAnsi="Arial" w:cs="Arial"/>
          <w:sz w:val="22"/>
        </w:rPr>
        <w:t xml:space="preserve">It is important to consider the budget within the broader context of UHC. What are the links and gaps between UHC, the formulation of policy, the allocation of resources, budget execution and service delivery on the ground? How do </w:t>
      </w:r>
      <w:r w:rsidRPr="00093C31">
        <w:rPr>
          <w:rFonts w:ascii="Arial" w:hAnsi="Arial" w:cs="Arial"/>
          <w:sz w:val="22"/>
          <w:szCs w:val="22"/>
        </w:rPr>
        <w:t>those</w:t>
      </w:r>
      <w:r w:rsidRPr="00093C31">
        <w:rPr>
          <w:rFonts w:ascii="Arial" w:hAnsi="Arial" w:cs="Arial"/>
          <w:sz w:val="22"/>
        </w:rPr>
        <w:t xml:space="preserve"> links and gaps affect the welfare of the population? If </w:t>
      </w:r>
      <w:r w:rsidRPr="00093C31">
        <w:rPr>
          <w:rFonts w:ascii="Arial" w:hAnsi="Arial" w:cs="Arial"/>
          <w:sz w:val="22"/>
          <w:szCs w:val="22"/>
        </w:rPr>
        <w:t>the</w:t>
      </w:r>
      <w:r w:rsidRPr="00093C31">
        <w:rPr>
          <w:rFonts w:ascii="Arial" w:hAnsi="Arial" w:cs="Arial"/>
          <w:sz w:val="22"/>
        </w:rPr>
        <w:t xml:space="preserve"> links and gaps are understood, opportunities can be found to improve the design of policies, their inclusion in the budget cycle and their implementation to achieve a </w:t>
      </w:r>
      <w:r w:rsidRPr="00093C31">
        <w:rPr>
          <w:rFonts w:ascii="Arial" w:hAnsi="Arial" w:cs="Arial"/>
          <w:sz w:val="22"/>
          <w:szCs w:val="22"/>
        </w:rPr>
        <w:t>greater</w:t>
      </w:r>
      <w:r w:rsidRPr="00093C31">
        <w:rPr>
          <w:rFonts w:ascii="Arial" w:hAnsi="Arial" w:cs="Arial"/>
          <w:sz w:val="22"/>
        </w:rPr>
        <w:t xml:space="preserve"> impact on </w:t>
      </w:r>
      <w:r w:rsidRPr="00093C31">
        <w:rPr>
          <w:rFonts w:ascii="Arial" w:hAnsi="Arial" w:cs="Arial"/>
          <w:sz w:val="22"/>
          <w:szCs w:val="22"/>
        </w:rPr>
        <w:t>children’s</w:t>
      </w:r>
      <w:r w:rsidRPr="00093C31">
        <w:rPr>
          <w:rFonts w:ascii="Arial" w:hAnsi="Arial" w:cs="Arial"/>
          <w:sz w:val="22"/>
        </w:rPr>
        <w:t xml:space="preserve"> welfare</w:t>
      </w:r>
      <w:r w:rsidRPr="00093C31">
        <w:rPr>
          <w:rFonts w:ascii="Arial" w:hAnsi="Arial" w:cs="Arial"/>
          <w:sz w:val="22"/>
          <w:szCs w:val="22"/>
        </w:rPr>
        <w:t xml:space="preserve"> </w:t>
      </w:r>
      <w:r w:rsidRPr="00093C31">
        <w:rPr>
          <w:rFonts w:ascii="Arial" w:hAnsi="Arial" w:cs="Arial"/>
          <w:i/>
          <w:sz w:val="22"/>
          <w:szCs w:val="22"/>
        </w:rPr>
        <w:t>(54)</w:t>
      </w:r>
      <w:r w:rsidRPr="00093C31">
        <w:rPr>
          <w:rFonts w:ascii="Arial" w:hAnsi="Arial" w:cs="Arial"/>
          <w:sz w:val="22"/>
          <w:szCs w:val="22"/>
        </w:rPr>
        <w:t>.</w:t>
      </w:r>
    </w:p>
    <w:p w14:paraId="4308CE44" w14:textId="77777777" w:rsidR="003065AE" w:rsidRPr="00093C31" w:rsidRDefault="003065AE" w:rsidP="003065AE">
      <w:pPr>
        <w:spacing w:after="120"/>
        <w:jc w:val="both"/>
        <w:rPr>
          <w:rFonts w:ascii="Arial" w:hAnsi="Arial" w:cs="Arial"/>
          <w:sz w:val="22"/>
        </w:rPr>
      </w:pPr>
      <w:r w:rsidRPr="00093C31">
        <w:rPr>
          <w:rFonts w:ascii="Arial" w:hAnsi="Arial" w:cs="Arial"/>
          <w:sz w:val="22"/>
        </w:rPr>
        <w:t xml:space="preserve">The </w:t>
      </w:r>
      <w:r w:rsidRPr="00093C31">
        <w:rPr>
          <w:rFonts w:ascii="Arial" w:hAnsi="Arial" w:cs="Arial"/>
          <w:sz w:val="22"/>
          <w:szCs w:val="22"/>
        </w:rPr>
        <w:t>budget</w:t>
      </w:r>
      <w:r w:rsidRPr="00093C31">
        <w:rPr>
          <w:rFonts w:ascii="Arial" w:hAnsi="Arial" w:cs="Arial"/>
          <w:sz w:val="22"/>
        </w:rPr>
        <w:t xml:space="preserve"> is the most relevant policy document of any government</w:t>
      </w:r>
      <w:r w:rsidRPr="00093C31">
        <w:rPr>
          <w:rFonts w:ascii="Arial" w:hAnsi="Arial" w:cs="Arial"/>
          <w:sz w:val="22"/>
          <w:szCs w:val="22"/>
        </w:rPr>
        <w:t>, as</w:t>
      </w:r>
      <w:r w:rsidRPr="00093C31">
        <w:rPr>
          <w:rFonts w:ascii="Arial" w:hAnsi="Arial" w:cs="Arial"/>
          <w:sz w:val="22"/>
        </w:rPr>
        <w:t xml:space="preserve"> it explains the </w:t>
      </w:r>
      <w:proofErr w:type="gramStart"/>
      <w:r w:rsidRPr="00093C31">
        <w:rPr>
          <w:rFonts w:ascii="Arial" w:hAnsi="Arial" w:cs="Arial"/>
          <w:sz w:val="22"/>
        </w:rPr>
        <w:t>amount</w:t>
      </w:r>
      <w:proofErr w:type="gramEnd"/>
      <w:r w:rsidRPr="00093C31">
        <w:rPr>
          <w:rFonts w:ascii="Arial" w:hAnsi="Arial" w:cs="Arial"/>
          <w:sz w:val="22"/>
        </w:rPr>
        <w:t xml:space="preserve"> of resources it expects to receive (</w:t>
      </w:r>
      <w:r w:rsidRPr="00093C31">
        <w:rPr>
          <w:rFonts w:ascii="Arial" w:hAnsi="Arial" w:cs="Arial"/>
          <w:b/>
          <w:sz w:val="22"/>
        </w:rPr>
        <w:t>revenue</w:t>
      </w:r>
      <w:r w:rsidRPr="00093C31">
        <w:rPr>
          <w:rFonts w:ascii="Arial" w:hAnsi="Arial" w:cs="Arial"/>
          <w:sz w:val="22"/>
        </w:rPr>
        <w:t xml:space="preserve">) and how it </w:t>
      </w:r>
      <w:r w:rsidRPr="00093C31">
        <w:rPr>
          <w:rFonts w:ascii="Arial" w:hAnsi="Arial" w:cs="Arial"/>
          <w:sz w:val="22"/>
          <w:szCs w:val="22"/>
        </w:rPr>
        <w:t>plans</w:t>
      </w:r>
      <w:r w:rsidRPr="00093C31">
        <w:rPr>
          <w:rFonts w:ascii="Arial" w:hAnsi="Arial" w:cs="Arial"/>
          <w:sz w:val="22"/>
        </w:rPr>
        <w:t xml:space="preserve"> to </w:t>
      </w:r>
      <w:r w:rsidRPr="00093C31">
        <w:rPr>
          <w:rFonts w:ascii="Arial" w:hAnsi="Arial" w:cs="Arial"/>
          <w:sz w:val="22"/>
          <w:szCs w:val="22"/>
        </w:rPr>
        <w:t>spend them</w:t>
      </w:r>
      <w:r w:rsidRPr="00093C31">
        <w:rPr>
          <w:rFonts w:ascii="Arial" w:hAnsi="Arial" w:cs="Arial"/>
          <w:sz w:val="22"/>
        </w:rPr>
        <w:t xml:space="preserve"> (</w:t>
      </w:r>
      <w:r w:rsidRPr="00093C31">
        <w:rPr>
          <w:rFonts w:ascii="Arial" w:hAnsi="Arial" w:cs="Arial"/>
          <w:b/>
          <w:sz w:val="22"/>
        </w:rPr>
        <w:t>expenditure</w:t>
      </w:r>
      <w:r w:rsidRPr="00093C31">
        <w:rPr>
          <w:rFonts w:ascii="Arial" w:hAnsi="Arial" w:cs="Arial"/>
          <w:sz w:val="22"/>
        </w:rPr>
        <w:t xml:space="preserve">). </w:t>
      </w:r>
    </w:p>
    <w:p w14:paraId="43DDDDEB" w14:textId="77777777" w:rsidR="003065AE" w:rsidRPr="00093C31" w:rsidRDefault="003065AE" w:rsidP="003065AE">
      <w:pPr>
        <w:spacing w:after="120"/>
        <w:jc w:val="both"/>
        <w:rPr>
          <w:rFonts w:ascii="Arial" w:hAnsi="Arial" w:cs="Arial"/>
          <w:sz w:val="22"/>
        </w:rPr>
      </w:pPr>
      <w:r w:rsidRPr="00093C31">
        <w:rPr>
          <w:rFonts w:ascii="Arial" w:hAnsi="Arial" w:cs="Arial"/>
          <w:b/>
          <w:sz w:val="22"/>
        </w:rPr>
        <w:t xml:space="preserve">Revenue </w:t>
      </w:r>
      <w:r w:rsidRPr="00093C31">
        <w:rPr>
          <w:rFonts w:ascii="Arial" w:hAnsi="Arial" w:cs="Arial"/>
          <w:sz w:val="22"/>
        </w:rPr>
        <w:t xml:space="preserve">represents the income that a government receives from </w:t>
      </w:r>
      <w:r w:rsidRPr="00093C31">
        <w:rPr>
          <w:rFonts w:ascii="Arial" w:hAnsi="Arial" w:cs="Arial"/>
          <w:sz w:val="22"/>
          <w:szCs w:val="22"/>
        </w:rPr>
        <w:t>various</w:t>
      </w:r>
      <w:r w:rsidRPr="00093C31">
        <w:rPr>
          <w:rFonts w:ascii="Arial" w:hAnsi="Arial" w:cs="Arial"/>
          <w:sz w:val="22"/>
        </w:rPr>
        <w:t xml:space="preserve"> sources to spend on public service delivery. In </w:t>
      </w:r>
      <w:r w:rsidRPr="00093C31">
        <w:rPr>
          <w:rFonts w:ascii="Arial" w:hAnsi="Arial" w:cs="Arial"/>
          <w:sz w:val="22"/>
          <w:szCs w:val="22"/>
        </w:rPr>
        <w:t>many</w:t>
      </w:r>
      <w:r w:rsidRPr="00093C31">
        <w:rPr>
          <w:rFonts w:ascii="Arial" w:hAnsi="Arial" w:cs="Arial"/>
          <w:sz w:val="22"/>
        </w:rPr>
        <w:t xml:space="preserve"> countries, </w:t>
      </w:r>
      <w:r w:rsidRPr="00093C31">
        <w:rPr>
          <w:rFonts w:ascii="Arial" w:hAnsi="Arial" w:cs="Arial"/>
          <w:sz w:val="22"/>
          <w:szCs w:val="22"/>
        </w:rPr>
        <w:t xml:space="preserve">most </w:t>
      </w:r>
      <w:r w:rsidRPr="00093C31">
        <w:rPr>
          <w:rFonts w:ascii="Arial" w:hAnsi="Arial" w:cs="Arial"/>
          <w:sz w:val="22"/>
        </w:rPr>
        <w:t>funds come from revenue raised from taxes</w:t>
      </w:r>
      <w:r w:rsidRPr="00093C31">
        <w:rPr>
          <w:rFonts w:ascii="Arial" w:hAnsi="Arial" w:cs="Arial"/>
          <w:sz w:val="22"/>
          <w:szCs w:val="22"/>
        </w:rPr>
        <w:t xml:space="preserve"> and</w:t>
      </w:r>
      <w:r w:rsidRPr="00093C31">
        <w:rPr>
          <w:rFonts w:ascii="Arial" w:hAnsi="Arial" w:cs="Arial"/>
          <w:sz w:val="22"/>
        </w:rPr>
        <w:t xml:space="preserve"> varying </w:t>
      </w:r>
      <w:r w:rsidRPr="00093C31">
        <w:rPr>
          <w:rFonts w:ascii="Arial" w:hAnsi="Arial" w:cs="Arial"/>
          <w:sz w:val="22"/>
          <w:szCs w:val="22"/>
        </w:rPr>
        <w:t>proportions</w:t>
      </w:r>
      <w:r w:rsidRPr="00093C31">
        <w:rPr>
          <w:rFonts w:ascii="Arial" w:hAnsi="Arial" w:cs="Arial"/>
          <w:sz w:val="22"/>
        </w:rPr>
        <w:t xml:space="preserve"> of funds from external aid and public borrowing</w:t>
      </w:r>
      <w:r w:rsidRPr="00093C31">
        <w:rPr>
          <w:rFonts w:ascii="Arial" w:hAnsi="Arial" w:cs="Arial"/>
          <w:sz w:val="22"/>
          <w:szCs w:val="22"/>
        </w:rPr>
        <w:t>.</w:t>
      </w:r>
      <w:r w:rsidRPr="00093C31">
        <w:rPr>
          <w:rFonts w:ascii="Arial" w:hAnsi="Arial" w:cs="Arial"/>
          <w:sz w:val="22"/>
        </w:rPr>
        <w:t xml:space="preserve"> Understanding the sources of revenue for the budget is important because </w:t>
      </w:r>
      <w:r w:rsidRPr="00093C31">
        <w:rPr>
          <w:rFonts w:ascii="Arial" w:hAnsi="Arial" w:cs="Arial"/>
          <w:sz w:val="22"/>
          <w:szCs w:val="22"/>
        </w:rPr>
        <w:t>they</w:t>
      </w:r>
      <w:r w:rsidRPr="00093C31">
        <w:rPr>
          <w:rFonts w:ascii="Arial" w:hAnsi="Arial" w:cs="Arial"/>
          <w:sz w:val="22"/>
        </w:rPr>
        <w:t xml:space="preserve"> have implications for public policy decisions</w:t>
      </w:r>
      <w:r w:rsidRPr="00093C31">
        <w:rPr>
          <w:rFonts w:ascii="Arial" w:hAnsi="Arial" w:cs="Arial"/>
          <w:sz w:val="22"/>
          <w:szCs w:val="22"/>
        </w:rPr>
        <w:t xml:space="preserve"> </w:t>
      </w:r>
      <w:r w:rsidRPr="00093C31">
        <w:rPr>
          <w:rFonts w:ascii="Arial" w:hAnsi="Arial" w:cs="Arial"/>
          <w:i/>
          <w:sz w:val="22"/>
          <w:szCs w:val="22"/>
        </w:rPr>
        <w:t>(54)</w:t>
      </w:r>
      <w:r w:rsidRPr="00093C31">
        <w:rPr>
          <w:rFonts w:ascii="Arial" w:hAnsi="Arial" w:cs="Arial"/>
          <w:sz w:val="22"/>
          <w:szCs w:val="22"/>
        </w:rPr>
        <w:t>.</w:t>
      </w:r>
      <w:r w:rsidRPr="00093C31">
        <w:rPr>
          <w:rFonts w:ascii="Arial" w:hAnsi="Arial" w:cs="Arial"/>
          <w:sz w:val="22"/>
        </w:rPr>
        <w:t xml:space="preserve"> It is money that comes from the public</w:t>
      </w:r>
      <w:r w:rsidRPr="00093C31">
        <w:rPr>
          <w:rFonts w:ascii="Arial" w:hAnsi="Arial" w:cs="Arial"/>
          <w:sz w:val="22"/>
          <w:szCs w:val="22"/>
        </w:rPr>
        <w:t xml:space="preserve"> –</w:t>
      </w:r>
      <w:r w:rsidRPr="00093C31">
        <w:rPr>
          <w:rFonts w:ascii="Arial" w:hAnsi="Arial" w:cs="Arial"/>
          <w:sz w:val="22"/>
        </w:rPr>
        <w:t xml:space="preserve"> a simple condition that gives people the right to know the final use of public monies. </w:t>
      </w:r>
    </w:p>
    <w:p w14:paraId="31976AB2" w14:textId="77777777" w:rsidR="003065AE" w:rsidRPr="00093C31" w:rsidRDefault="003065AE" w:rsidP="003065AE">
      <w:pPr>
        <w:spacing w:after="120"/>
        <w:jc w:val="both"/>
        <w:rPr>
          <w:rFonts w:ascii="Arial" w:hAnsi="Arial" w:cs="Arial"/>
          <w:sz w:val="22"/>
        </w:rPr>
      </w:pPr>
      <w:r w:rsidRPr="00093C31">
        <w:rPr>
          <w:rFonts w:ascii="Arial" w:hAnsi="Arial" w:cs="Arial"/>
          <w:sz w:val="22"/>
        </w:rPr>
        <w:lastRenderedPageBreak/>
        <w:t xml:space="preserve">When the total revenue is insufficient to meet spending commitments, governments </w:t>
      </w:r>
      <w:r w:rsidRPr="00093C31">
        <w:rPr>
          <w:rFonts w:ascii="Arial" w:hAnsi="Arial" w:cs="Arial"/>
          <w:sz w:val="22"/>
          <w:szCs w:val="22"/>
        </w:rPr>
        <w:t>have</w:t>
      </w:r>
      <w:r w:rsidRPr="00093C31">
        <w:rPr>
          <w:rFonts w:ascii="Arial" w:hAnsi="Arial" w:cs="Arial"/>
          <w:sz w:val="22"/>
        </w:rPr>
        <w:t xml:space="preserve"> to borrow money. </w:t>
      </w:r>
      <w:r w:rsidRPr="00093C31">
        <w:rPr>
          <w:rFonts w:ascii="Arial" w:hAnsi="Arial" w:cs="Arial"/>
          <w:sz w:val="22"/>
          <w:szCs w:val="22"/>
        </w:rPr>
        <w:t>Such</w:t>
      </w:r>
      <w:r w:rsidRPr="00093C31">
        <w:rPr>
          <w:rFonts w:ascii="Arial" w:hAnsi="Arial" w:cs="Arial"/>
          <w:sz w:val="22"/>
        </w:rPr>
        <w:t xml:space="preserve"> borrowing is known as </w:t>
      </w:r>
      <w:r w:rsidRPr="00093C31">
        <w:rPr>
          <w:rFonts w:ascii="Arial" w:hAnsi="Arial" w:cs="Arial"/>
          <w:b/>
          <w:sz w:val="22"/>
        </w:rPr>
        <w:t>“public debt</w:t>
      </w:r>
      <w:r w:rsidRPr="00093C31">
        <w:rPr>
          <w:rFonts w:ascii="Arial" w:hAnsi="Arial" w:cs="Arial"/>
          <w:b/>
          <w:sz w:val="22"/>
          <w:szCs w:val="22"/>
        </w:rPr>
        <w:t>”</w:t>
      </w:r>
      <w:r w:rsidRPr="00093C31">
        <w:rPr>
          <w:rFonts w:ascii="Arial" w:hAnsi="Arial" w:cs="Arial"/>
          <w:sz w:val="22"/>
          <w:szCs w:val="22"/>
        </w:rPr>
        <w:t>, which may</w:t>
      </w:r>
      <w:r w:rsidRPr="00093C31">
        <w:rPr>
          <w:rFonts w:ascii="Arial" w:hAnsi="Arial" w:cs="Arial"/>
          <w:sz w:val="22"/>
        </w:rPr>
        <w:t xml:space="preserve"> be external (when the government borrows from other governments, international institutions or foreign commercial banks) or internal (when loans come from the issuance of bonds or certificates payable by the government, with attractive rates</w:t>
      </w:r>
      <w:r w:rsidRPr="00093C31">
        <w:rPr>
          <w:rFonts w:ascii="Arial" w:hAnsi="Arial" w:cs="Arial"/>
          <w:sz w:val="22"/>
          <w:szCs w:val="22"/>
        </w:rPr>
        <w:t>,</w:t>
      </w:r>
      <w:r w:rsidRPr="00093C31">
        <w:rPr>
          <w:rFonts w:ascii="Arial" w:hAnsi="Arial" w:cs="Arial"/>
          <w:sz w:val="22"/>
        </w:rPr>
        <w:t xml:space="preserve"> to the public). </w:t>
      </w:r>
      <w:r w:rsidRPr="00093C31">
        <w:rPr>
          <w:rFonts w:ascii="Arial" w:hAnsi="Arial" w:cs="Arial"/>
          <w:sz w:val="22"/>
          <w:szCs w:val="22"/>
        </w:rPr>
        <w:t>Loans must</w:t>
      </w:r>
      <w:r w:rsidRPr="00093C31">
        <w:rPr>
          <w:rFonts w:ascii="Arial" w:hAnsi="Arial" w:cs="Arial"/>
          <w:sz w:val="22"/>
        </w:rPr>
        <w:t xml:space="preserve"> be paid </w:t>
      </w:r>
      <w:r w:rsidRPr="00093C31">
        <w:rPr>
          <w:rFonts w:ascii="Arial" w:hAnsi="Arial" w:cs="Arial"/>
          <w:sz w:val="22"/>
          <w:szCs w:val="22"/>
        </w:rPr>
        <w:t xml:space="preserve">back </w:t>
      </w:r>
      <w:r w:rsidRPr="00093C31">
        <w:rPr>
          <w:rFonts w:ascii="Arial" w:hAnsi="Arial" w:cs="Arial"/>
          <w:sz w:val="22"/>
        </w:rPr>
        <w:t xml:space="preserve">in the future. </w:t>
      </w:r>
    </w:p>
    <w:p w14:paraId="18E4FED7" w14:textId="77777777" w:rsidR="003065AE" w:rsidRPr="00093C31" w:rsidRDefault="003065AE" w:rsidP="003065AE">
      <w:pPr>
        <w:spacing w:after="120"/>
        <w:jc w:val="both"/>
        <w:rPr>
          <w:rFonts w:ascii="Arial" w:hAnsi="Arial" w:cs="Arial"/>
          <w:sz w:val="22"/>
        </w:rPr>
      </w:pPr>
      <w:r w:rsidRPr="00093C31">
        <w:rPr>
          <w:rFonts w:ascii="Arial" w:hAnsi="Arial" w:cs="Arial"/>
          <w:b/>
          <w:sz w:val="22"/>
        </w:rPr>
        <w:t>Expenditure</w:t>
      </w:r>
      <w:r w:rsidRPr="00093C31">
        <w:rPr>
          <w:rFonts w:ascii="Arial" w:hAnsi="Arial" w:cs="Arial"/>
          <w:sz w:val="22"/>
        </w:rPr>
        <w:t xml:space="preserve"> represents authorized spending on various aspects of public service delivery by government agencies and line ministries. </w:t>
      </w:r>
      <w:r w:rsidRPr="00093C31">
        <w:rPr>
          <w:rFonts w:ascii="Arial" w:hAnsi="Arial" w:cs="Arial"/>
          <w:sz w:val="22"/>
          <w:szCs w:val="22"/>
        </w:rPr>
        <w:t>The</w:t>
      </w:r>
      <w:r w:rsidRPr="00093C31">
        <w:rPr>
          <w:rFonts w:ascii="Arial" w:hAnsi="Arial" w:cs="Arial"/>
          <w:sz w:val="22"/>
        </w:rPr>
        <w:t xml:space="preserve"> two basic types of expenditure</w:t>
      </w:r>
      <w:r w:rsidRPr="00093C31">
        <w:rPr>
          <w:rFonts w:ascii="Arial" w:hAnsi="Arial" w:cs="Arial"/>
          <w:sz w:val="22"/>
          <w:szCs w:val="22"/>
        </w:rPr>
        <w:t xml:space="preserve"> are</w:t>
      </w:r>
      <w:r w:rsidRPr="00093C31">
        <w:rPr>
          <w:rFonts w:ascii="Arial" w:hAnsi="Arial" w:cs="Arial"/>
          <w:sz w:val="22"/>
        </w:rPr>
        <w:t xml:space="preserve"> recurrent and capital</w:t>
      </w:r>
      <w:r w:rsidRPr="00093C31">
        <w:rPr>
          <w:rFonts w:ascii="Arial" w:hAnsi="Arial" w:cs="Arial"/>
          <w:sz w:val="22"/>
          <w:szCs w:val="22"/>
        </w:rPr>
        <w:t>; however</w:t>
      </w:r>
      <w:r w:rsidRPr="00093C31">
        <w:rPr>
          <w:rFonts w:ascii="Arial" w:hAnsi="Arial" w:cs="Arial"/>
          <w:sz w:val="22"/>
        </w:rPr>
        <w:t xml:space="preserve">, as </w:t>
      </w:r>
      <w:r w:rsidRPr="00093C31">
        <w:rPr>
          <w:rFonts w:ascii="Arial" w:hAnsi="Arial" w:cs="Arial"/>
          <w:sz w:val="22"/>
          <w:szCs w:val="22"/>
        </w:rPr>
        <w:t>shown</w:t>
      </w:r>
      <w:r w:rsidRPr="00093C31">
        <w:rPr>
          <w:rFonts w:ascii="Arial" w:hAnsi="Arial" w:cs="Arial"/>
          <w:sz w:val="22"/>
        </w:rPr>
        <w:t xml:space="preserve"> in </w:t>
      </w:r>
      <w:r w:rsidRPr="00093C31">
        <w:rPr>
          <w:rFonts w:ascii="Arial" w:hAnsi="Arial" w:cs="Arial"/>
          <w:sz w:val="22"/>
          <w:szCs w:val="22"/>
        </w:rPr>
        <w:t xml:space="preserve">the </w:t>
      </w:r>
      <w:r w:rsidRPr="00093C31">
        <w:rPr>
          <w:rFonts w:ascii="Arial" w:hAnsi="Arial" w:cs="Arial"/>
          <w:sz w:val="22"/>
        </w:rPr>
        <w:t>sections below</w:t>
      </w:r>
      <w:r w:rsidRPr="00093C31">
        <w:rPr>
          <w:rFonts w:ascii="Arial" w:hAnsi="Arial" w:cs="Arial"/>
          <w:sz w:val="22"/>
          <w:szCs w:val="22"/>
        </w:rPr>
        <w:t>,</w:t>
      </w:r>
      <w:r w:rsidRPr="00093C31">
        <w:rPr>
          <w:rFonts w:ascii="Arial" w:hAnsi="Arial" w:cs="Arial"/>
          <w:sz w:val="22"/>
        </w:rPr>
        <w:t xml:space="preserve"> three classifications better </w:t>
      </w:r>
      <w:r w:rsidRPr="00093C31">
        <w:rPr>
          <w:rFonts w:ascii="Arial" w:hAnsi="Arial" w:cs="Arial"/>
          <w:sz w:val="22"/>
          <w:szCs w:val="22"/>
        </w:rPr>
        <w:t>explain</w:t>
      </w:r>
      <w:r w:rsidRPr="00093C31">
        <w:rPr>
          <w:rFonts w:ascii="Arial" w:hAnsi="Arial" w:cs="Arial"/>
          <w:sz w:val="22"/>
        </w:rPr>
        <w:t xml:space="preserve"> spending decisions. For now, let us say that </w:t>
      </w:r>
      <w:r w:rsidRPr="00093C31">
        <w:rPr>
          <w:rFonts w:ascii="Arial" w:hAnsi="Arial" w:cs="Arial"/>
          <w:b/>
          <w:sz w:val="22"/>
        </w:rPr>
        <w:t>recurrent expenditures</w:t>
      </w:r>
      <w:r w:rsidRPr="00093C31">
        <w:rPr>
          <w:rFonts w:ascii="Arial" w:hAnsi="Arial" w:cs="Arial"/>
          <w:sz w:val="22"/>
        </w:rPr>
        <w:t xml:space="preserve"> are made by the government to maintain operations during the budget period and do not result in the creation or acquisition of fixed assets. </w:t>
      </w:r>
      <w:r w:rsidRPr="00093C31">
        <w:rPr>
          <w:rFonts w:ascii="Arial" w:hAnsi="Arial" w:cs="Arial"/>
          <w:sz w:val="22"/>
          <w:szCs w:val="22"/>
        </w:rPr>
        <w:t xml:space="preserve">Recurrent expenditures </w:t>
      </w:r>
      <w:r w:rsidRPr="00093C31">
        <w:rPr>
          <w:rFonts w:ascii="Arial" w:hAnsi="Arial" w:cs="Arial"/>
          <w:sz w:val="22"/>
        </w:rPr>
        <w:t xml:space="preserve">include wages, </w:t>
      </w:r>
      <w:r w:rsidRPr="00093C31">
        <w:rPr>
          <w:rFonts w:ascii="Arial" w:hAnsi="Arial" w:cs="Arial"/>
          <w:sz w:val="22"/>
          <w:szCs w:val="22"/>
        </w:rPr>
        <w:t>rent</w:t>
      </w:r>
      <w:r w:rsidRPr="00093C31">
        <w:rPr>
          <w:rFonts w:ascii="Arial" w:hAnsi="Arial" w:cs="Arial"/>
          <w:sz w:val="22"/>
        </w:rPr>
        <w:t xml:space="preserve">, office requirements, interest payments on borrowed funds and maintenance of fixed assets. </w:t>
      </w:r>
      <w:r w:rsidRPr="00093C31">
        <w:rPr>
          <w:rFonts w:ascii="Arial" w:hAnsi="Arial" w:cs="Arial"/>
          <w:sz w:val="22"/>
          <w:szCs w:val="22"/>
        </w:rPr>
        <w:t>The</w:t>
      </w:r>
      <w:r w:rsidRPr="00093C31">
        <w:rPr>
          <w:rFonts w:ascii="Arial" w:hAnsi="Arial" w:cs="Arial"/>
          <w:sz w:val="22"/>
        </w:rPr>
        <w:t xml:space="preserve"> recurrent expenditure budget does</w:t>
      </w:r>
      <w:r w:rsidRPr="00093C31">
        <w:rPr>
          <w:rFonts w:ascii="Arial" w:hAnsi="Arial" w:cs="Arial"/>
          <w:sz w:val="22"/>
          <w:szCs w:val="22"/>
        </w:rPr>
        <w:t xml:space="preserve">, however, sometimes </w:t>
      </w:r>
      <w:r w:rsidRPr="00093C31">
        <w:rPr>
          <w:rFonts w:ascii="Arial" w:hAnsi="Arial" w:cs="Arial"/>
          <w:sz w:val="22"/>
        </w:rPr>
        <w:t xml:space="preserve">include some capital expenditures (for example, equipment </w:t>
      </w:r>
      <w:r w:rsidRPr="00093C31">
        <w:rPr>
          <w:rFonts w:ascii="Arial" w:hAnsi="Arial" w:cs="Arial"/>
          <w:sz w:val="22"/>
          <w:szCs w:val="22"/>
        </w:rPr>
        <w:t>such as</w:t>
      </w:r>
      <w:r w:rsidRPr="00093C31">
        <w:rPr>
          <w:rFonts w:ascii="Arial" w:hAnsi="Arial" w:cs="Arial"/>
          <w:sz w:val="22"/>
        </w:rPr>
        <w:t xml:space="preserve"> computers </w:t>
      </w:r>
      <w:r w:rsidRPr="00093C31">
        <w:rPr>
          <w:rFonts w:ascii="Arial" w:hAnsi="Arial" w:cs="Arial"/>
          <w:sz w:val="22"/>
          <w:szCs w:val="22"/>
        </w:rPr>
        <w:t>and</w:t>
      </w:r>
      <w:r w:rsidRPr="00093C31">
        <w:rPr>
          <w:rFonts w:ascii="Arial" w:hAnsi="Arial" w:cs="Arial"/>
          <w:sz w:val="22"/>
        </w:rPr>
        <w:t xml:space="preserve"> chalkboards), depending on how the economic transaction is defined. </w:t>
      </w:r>
      <w:r w:rsidRPr="00093C31">
        <w:rPr>
          <w:rFonts w:ascii="Arial" w:hAnsi="Arial" w:cs="Arial"/>
          <w:b/>
          <w:sz w:val="22"/>
        </w:rPr>
        <w:t>Capital expenditures</w:t>
      </w:r>
      <w:r w:rsidRPr="00093C31">
        <w:rPr>
          <w:rFonts w:ascii="Arial" w:hAnsi="Arial" w:cs="Arial"/>
          <w:sz w:val="22"/>
        </w:rPr>
        <w:t xml:space="preserve"> are </w:t>
      </w:r>
      <w:r w:rsidRPr="00093C31">
        <w:rPr>
          <w:rFonts w:ascii="Arial" w:hAnsi="Arial" w:cs="Arial"/>
          <w:sz w:val="22"/>
          <w:szCs w:val="22"/>
        </w:rPr>
        <w:t>those</w:t>
      </w:r>
      <w:r w:rsidRPr="00093C31">
        <w:rPr>
          <w:rFonts w:ascii="Arial" w:hAnsi="Arial" w:cs="Arial"/>
          <w:sz w:val="22"/>
        </w:rPr>
        <w:t xml:space="preserve"> on assets that last for more than </w:t>
      </w:r>
      <w:r w:rsidRPr="00093C31">
        <w:rPr>
          <w:rFonts w:ascii="Arial" w:hAnsi="Arial" w:cs="Arial"/>
          <w:sz w:val="22"/>
          <w:szCs w:val="22"/>
        </w:rPr>
        <w:t>1</w:t>
      </w:r>
      <w:r w:rsidRPr="00093C31">
        <w:rPr>
          <w:rFonts w:ascii="Arial" w:hAnsi="Arial" w:cs="Arial"/>
          <w:sz w:val="22"/>
        </w:rPr>
        <w:t xml:space="preserve"> year. </w:t>
      </w:r>
      <w:r w:rsidRPr="00093C31">
        <w:rPr>
          <w:rFonts w:ascii="Arial" w:hAnsi="Arial" w:cs="Arial"/>
          <w:sz w:val="22"/>
          <w:szCs w:val="22"/>
        </w:rPr>
        <w:t>They include</w:t>
      </w:r>
      <w:r w:rsidRPr="00093C31">
        <w:rPr>
          <w:rFonts w:ascii="Arial" w:hAnsi="Arial" w:cs="Arial"/>
          <w:sz w:val="22"/>
        </w:rPr>
        <w:t xml:space="preserve"> equipment, land, buildings, legal expenses and other transfer costs associated with a property. For capital projects (</w:t>
      </w:r>
      <w:proofErr w:type="gramStart"/>
      <w:r w:rsidRPr="00093C31">
        <w:rPr>
          <w:rFonts w:ascii="Arial" w:hAnsi="Arial" w:cs="Arial"/>
          <w:sz w:val="22"/>
        </w:rPr>
        <w:t>e.g</w:t>
      </w:r>
      <w:r w:rsidRPr="00093C31">
        <w:rPr>
          <w:rFonts w:ascii="Arial" w:hAnsi="Arial" w:cs="Arial"/>
          <w:sz w:val="22"/>
          <w:szCs w:val="22"/>
        </w:rPr>
        <w:t>.</w:t>
      </w:r>
      <w:proofErr w:type="gramEnd"/>
      <w:r w:rsidRPr="00093C31">
        <w:rPr>
          <w:rFonts w:ascii="Arial" w:hAnsi="Arial" w:cs="Arial"/>
          <w:sz w:val="22"/>
        </w:rPr>
        <w:t xml:space="preserve"> building schools), all associated expenses are also considered as capital expenditure</w:t>
      </w:r>
      <w:r w:rsidRPr="00093C31">
        <w:rPr>
          <w:rFonts w:ascii="Arial" w:hAnsi="Arial" w:cs="Arial"/>
          <w:sz w:val="22"/>
          <w:szCs w:val="22"/>
        </w:rPr>
        <w:t xml:space="preserve"> </w:t>
      </w:r>
      <w:r w:rsidRPr="00093C31">
        <w:rPr>
          <w:rFonts w:ascii="Arial" w:hAnsi="Arial" w:cs="Arial"/>
          <w:i/>
          <w:sz w:val="22"/>
          <w:szCs w:val="22"/>
        </w:rPr>
        <w:t>(55)</w:t>
      </w:r>
      <w:r w:rsidRPr="00093C31">
        <w:rPr>
          <w:rFonts w:ascii="Arial" w:hAnsi="Arial" w:cs="Arial"/>
          <w:sz w:val="22"/>
          <w:szCs w:val="22"/>
        </w:rPr>
        <w:t>.</w:t>
      </w:r>
      <w:r w:rsidRPr="00093C31">
        <w:rPr>
          <w:rFonts w:ascii="Arial" w:hAnsi="Arial" w:cs="Arial"/>
          <w:sz w:val="22"/>
        </w:rPr>
        <w:t xml:space="preserve"> </w:t>
      </w:r>
    </w:p>
    <w:p w14:paraId="4684ED17" w14:textId="28A0D435" w:rsidR="00B45B06" w:rsidRPr="009A1B3E" w:rsidRDefault="00B45B06" w:rsidP="003065AE">
      <w:pPr>
        <w:spacing w:after="120"/>
        <w:jc w:val="both"/>
        <w:rPr>
          <w:rFonts w:ascii="Arial" w:hAnsi="Arial" w:cs="Arial"/>
          <w:sz w:val="22"/>
        </w:rPr>
      </w:pPr>
    </w:p>
    <w:sectPr w:rsidR="00B45B06" w:rsidRPr="009A1B3E" w:rsidSect="00EC272E">
      <w:headerReference w:type="default" r:id="rId8"/>
      <w:foot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0847A" w14:textId="77777777" w:rsidR="005A1022" w:rsidRDefault="005A1022" w:rsidP="00EC272E">
      <w:r>
        <w:separator/>
      </w:r>
    </w:p>
  </w:endnote>
  <w:endnote w:type="continuationSeparator" w:id="0">
    <w:p w14:paraId="53B967A2" w14:textId="77777777" w:rsidR="005A1022" w:rsidRDefault="005A1022" w:rsidP="00EC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Body CS)">
    <w:altName w:val="Tahom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D0F4" w14:textId="77777777" w:rsidR="00600C8D" w:rsidRPr="0086169F" w:rsidRDefault="00600C8D" w:rsidP="00600C8D">
    <w:pPr>
      <w:rPr>
        <w:rFonts w:ascii="Arial" w:hAnsi="Arial" w:cs="Arial"/>
      </w:rPr>
    </w:pPr>
  </w:p>
  <w:p w14:paraId="49F31288" w14:textId="77777777" w:rsidR="00600C8D" w:rsidRDefault="00600C8D" w:rsidP="00600C8D"/>
  <w:tbl>
    <w:tblPr>
      <w:tblStyle w:val="TableGrid"/>
      <w:tblW w:w="0" w:type="auto"/>
      <w:tblBorders>
        <w:top w:val="single" w:sz="4" w:space="0" w:color="0080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3943"/>
    </w:tblGrid>
    <w:tr w:rsidR="00600C8D" w14:paraId="07A00F58" w14:textId="77777777" w:rsidTr="00CE0880">
      <w:tc>
        <w:tcPr>
          <w:tcW w:w="4885" w:type="dxa"/>
        </w:tcPr>
        <w:p w14:paraId="0D1AC8D8" w14:textId="77777777" w:rsidR="00600C8D" w:rsidRPr="00910245" w:rsidRDefault="00600C8D" w:rsidP="00600C8D">
          <w:pPr>
            <w:rPr>
              <w:rFonts w:ascii="Arial" w:eastAsia="MS Gothic" w:hAnsi="Arial" w:cs="Arial"/>
              <w:b/>
              <w:color w:val="008080"/>
              <w:sz w:val="18"/>
              <w:szCs w:val="18"/>
            </w:rPr>
          </w:pPr>
        </w:p>
        <w:p w14:paraId="5797CD5A" w14:textId="77777777" w:rsidR="00600C8D" w:rsidRPr="00910245" w:rsidRDefault="00600C8D" w:rsidP="00600C8D">
          <w:pPr>
            <w:rPr>
              <w:rFonts w:ascii="Arial" w:hAnsi="Arial" w:cs="Arial"/>
              <w:color w:val="008080"/>
              <w:sz w:val="18"/>
              <w:szCs w:val="18"/>
            </w:rPr>
          </w:pPr>
          <w:r w:rsidRPr="00910245">
            <w:rPr>
              <w:rFonts w:ascii="Arial" w:eastAsia="MS Gothic" w:hAnsi="Arial" w:cs="Arial"/>
              <w:b/>
              <w:color w:val="008080"/>
              <w:sz w:val="18"/>
              <w:szCs w:val="18"/>
            </w:rPr>
            <w:t>Chapter 2. Core content for understanding universal health coverage and public budgets for health</w:t>
          </w:r>
        </w:p>
        <w:p w14:paraId="75ADC916" w14:textId="77777777" w:rsidR="00600C8D" w:rsidRPr="00910245" w:rsidRDefault="00600C8D" w:rsidP="00600C8D">
          <w:pPr>
            <w:pStyle w:val="Footer"/>
            <w:rPr>
              <w:rFonts w:ascii="Arial" w:hAnsi="Arial" w:cs="Arial"/>
              <w:b/>
              <w:bCs/>
              <w:color w:val="3CA5DD"/>
              <w:sz w:val="18"/>
              <w:szCs w:val="18"/>
            </w:rPr>
          </w:pPr>
        </w:p>
        <w:p w14:paraId="061411D9" w14:textId="20C0643F" w:rsidR="00600C8D" w:rsidRPr="00910245" w:rsidRDefault="00DB2A7E" w:rsidP="00600C8D">
          <w:pPr>
            <w:pStyle w:val="Footer"/>
            <w:rPr>
              <w:rFonts w:ascii="Arial" w:hAnsi="Arial" w:cs="Arial"/>
              <w:b/>
              <w:bCs/>
              <w:color w:val="3CA5DD"/>
            </w:rPr>
          </w:pPr>
          <w:r w:rsidRPr="00B26630">
            <w:rPr>
              <w:rFonts w:ascii="Arial" w:hAnsi="Arial" w:cs="Arial"/>
              <w:b/>
              <w:bCs/>
              <w:color w:val="3CA5DD"/>
              <w:sz w:val="18"/>
              <w:szCs w:val="18"/>
            </w:rPr>
            <w:t xml:space="preserve">Module 2. Introduction to public financing for health relevant for budget advocacy for universal health coverage </w:t>
          </w:r>
        </w:p>
      </w:tc>
      <w:tc>
        <w:tcPr>
          <w:tcW w:w="3943" w:type="dxa"/>
        </w:tcPr>
        <w:p w14:paraId="4AFD5FD6" w14:textId="77777777" w:rsidR="00600C8D" w:rsidRPr="00910245" w:rsidRDefault="00600C8D" w:rsidP="00D34792">
          <w:pPr>
            <w:rPr>
              <w:rFonts w:ascii="Arial" w:hAnsi="Arial" w:cs="Arial"/>
              <w:b/>
              <w:bCs/>
              <w:color w:val="000000" w:themeColor="text1"/>
              <w:sz w:val="18"/>
              <w:szCs w:val="18"/>
            </w:rPr>
          </w:pPr>
        </w:p>
        <w:p w14:paraId="797138E1" w14:textId="29478CCF" w:rsidR="00600C8D" w:rsidRPr="00910245" w:rsidRDefault="00811D7C" w:rsidP="00D34792">
          <w:pPr>
            <w:rPr>
              <w:rFonts w:ascii="Arial" w:eastAsia="MS Gothic" w:hAnsi="Arial" w:cs="Arial"/>
              <w:b/>
              <w:color w:val="008080"/>
              <w:sz w:val="18"/>
              <w:szCs w:val="18"/>
            </w:rPr>
          </w:pPr>
          <w:r w:rsidRPr="005002AE">
            <w:rPr>
              <w:rFonts w:ascii="Arial" w:hAnsi="Arial" w:cs="Arial"/>
              <w:b/>
              <w:bCs/>
              <w:color w:val="000000" w:themeColor="text1"/>
              <w:sz w:val="18"/>
              <w:szCs w:val="18"/>
            </w:rPr>
            <w:t>Section B. Introduction to the public budget and its relevance for universal health coverage</w:t>
          </w:r>
        </w:p>
      </w:tc>
    </w:tr>
  </w:tbl>
  <w:p w14:paraId="22796356" w14:textId="77777777" w:rsidR="00600C8D" w:rsidRPr="0086169F" w:rsidRDefault="00600C8D" w:rsidP="00600C8D">
    <w:pPr>
      <w:pStyle w:val="Footer"/>
      <w:jc w:val="right"/>
      <w:rPr>
        <w:rFonts w:ascii="Arial" w:hAnsi="Arial" w:cs="Arial"/>
        <w:b/>
        <w:bCs/>
        <w:color w:val="008080"/>
        <w:sz w:val="20"/>
        <w:szCs w:val="20"/>
      </w:rPr>
    </w:pPr>
    <w:r w:rsidRPr="0086169F">
      <w:rPr>
        <w:rFonts w:ascii="Arial" w:hAnsi="Arial" w:cs="Arial"/>
        <w:b/>
        <w:bCs/>
        <w:color w:val="008080"/>
        <w:sz w:val="20"/>
        <w:szCs w:val="20"/>
      </w:rPr>
      <w:fldChar w:fldCharType="begin"/>
    </w:r>
    <w:r w:rsidRPr="0086169F">
      <w:rPr>
        <w:rFonts w:ascii="Arial" w:hAnsi="Arial" w:cs="Arial"/>
        <w:b/>
        <w:bCs/>
        <w:color w:val="008080"/>
        <w:sz w:val="20"/>
        <w:szCs w:val="20"/>
      </w:rPr>
      <w:instrText xml:space="preserve"> PAGE   \* MERGEFORMAT </w:instrText>
    </w:r>
    <w:r w:rsidRPr="0086169F">
      <w:rPr>
        <w:rFonts w:ascii="Arial" w:hAnsi="Arial" w:cs="Arial"/>
        <w:b/>
        <w:bCs/>
        <w:color w:val="008080"/>
        <w:sz w:val="20"/>
        <w:szCs w:val="20"/>
      </w:rPr>
      <w:fldChar w:fldCharType="separate"/>
    </w:r>
    <w:r>
      <w:rPr>
        <w:rFonts w:ascii="Arial" w:hAnsi="Arial" w:cs="Arial"/>
        <w:b/>
        <w:bCs/>
        <w:color w:val="008080"/>
        <w:sz w:val="20"/>
        <w:szCs w:val="20"/>
      </w:rPr>
      <w:t>27</w:t>
    </w:r>
    <w:r w:rsidRPr="0086169F">
      <w:rPr>
        <w:rFonts w:ascii="Arial" w:hAnsi="Arial" w:cs="Arial"/>
        <w:b/>
        <w:bCs/>
        <w:color w:val="008080"/>
        <w:sz w:val="20"/>
        <w:szCs w:val="20"/>
      </w:rPr>
      <w:fldChar w:fldCharType="end"/>
    </w:r>
  </w:p>
  <w:p w14:paraId="53527D5D" w14:textId="53294A66" w:rsidR="00EC272E" w:rsidRDefault="00600C8D" w:rsidP="00600C8D">
    <w:pPr>
      <w:pStyle w:val="Footer"/>
      <w:tabs>
        <w:tab w:val="clear" w:pos="4680"/>
        <w:tab w:val="clear" w:pos="9360"/>
        <w:tab w:val="left" w:pos="1315"/>
      </w:tabs>
      <w:rPr>
        <w:rFonts w:ascii="Arial" w:hAnsi="Arial" w:cs="Arial"/>
      </w:rPr>
    </w:pPr>
    <w:r w:rsidRPr="0086169F">
      <w:rPr>
        <w:rFonts w:ascii="Arial" w:hAnsi="Arial" w:cs="Arial"/>
      </w:rPr>
      <w:tab/>
    </w:r>
  </w:p>
  <w:p w14:paraId="7217FAB3" w14:textId="77777777" w:rsidR="00600C8D" w:rsidRPr="00600C8D" w:rsidRDefault="00600C8D" w:rsidP="00600C8D">
    <w:pPr>
      <w:pStyle w:val="Footer"/>
      <w:tabs>
        <w:tab w:val="clear" w:pos="4680"/>
        <w:tab w:val="clear" w:pos="9360"/>
        <w:tab w:val="left" w:pos="1315"/>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3926C" w14:textId="77777777" w:rsidR="005A1022" w:rsidRDefault="005A1022" w:rsidP="00EC272E">
      <w:r>
        <w:separator/>
      </w:r>
    </w:p>
  </w:footnote>
  <w:footnote w:type="continuationSeparator" w:id="0">
    <w:p w14:paraId="5D27E890" w14:textId="77777777" w:rsidR="005A1022" w:rsidRDefault="005A1022" w:rsidP="00EC2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134"/>
    </w:tblGrid>
    <w:tr w:rsidR="00EC272E" w14:paraId="0F635AB7" w14:textId="77777777" w:rsidTr="00CE0880">
      <w:trPr>
        <w:trHeight w:val="1138"/>
      </w:trPr>
      <w:tc>
        <w:tcPr>
          <w:tcW w:w="2694" w:type="dxa"/>
          <w:tcBorders>
            <w:bottom w:val="single" w:sz="4" w:space="0" w:color="00807F"/>
          </w:tcBorders>
        </w:tcPr>
        <w:p w14:paraId="78509BE4" w14:textId="77777777" w:rsidR="00EC272E" w:rsidRDefault="00EC272E" w:rsidP="00EC272E">
          <w:pPr>
            <w:rPr>
              <w:rFonts w:cs="Arial"/>
              <w:b/>
              <w:color w:val="3CA5DD"/>
            </w:rPr>
          </w:pPr>
          <w:r>
            <w:rPr>
              <w:rFonts w:ascii="Arial" w:hAnsi="Arial" w:cs="Arial"/>
              <w:b/>
              <w:noProof/>
              <w:color w:val="008080"/>
              <w:sz w:val="48"/>
              <w:szCs w:val="48"/>
            </w:rPr>
            <w:drawing>
              <wp:anchor distT="0" distB="0" distL="114300" distR="114300" simplePos="0" relativeHeight="251659264" behindDoc="0" locked="0" layoutInCell="1" allowOverlap="1" wp14:anchorId="03848227" wp14:editId="0D81BCCE">
                <wp:simplePos x="0" y="0"/>
                <wp:positionH relativeFrom="column">
                  <wp:posOffset>-18415</wp:posOffset>
                </wp:positionH>
                <wp:positionV relativeFrom="paragraph">
                  <wp:posOffset>483235</wp:posOffset>
                </wp:positionV>
                <wp:extent cx="1102995" cy="312111"/>
                <wp:effectExtent l="0" t="0" r="1905" b="5715"/>
                <wp:wrapNone/>
                <wp:docPr id="34" name="Picture 3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995" cy="312111"/>
                        </a:xfrm>
                        <a:prstGeom prst="rect">
                          <a:avLst/>
                        </a:prstGeom>
                      </pic:spPr>
                    </pic:pic>
                  </a:graphicData>
                </a:graphic>
                <wp14:sizeRelH relativeFrom="page">
                  <wp14:pctWidth>0</wp14:pctWidth>
                </wp14:sizeRelH>
                <wp14:sizeRelV relativeFrom="page">
                  <wp14:pctHeight>0</wp14:pctHeight>
                </wp14:sizeRelV>
              </wp:anchor>
            </w:drawing>
          </w:r>
          <w:r w:rsidRPr="001B20F1">
            <w:rPr>
              <w:rFonts w:cs="Arial"/>
              <w:b/>
              <w:noProof/>
              <w:color w:val="008080"/>
              <w:sz w:val="64"/>
              <w:szCs w:val="64"/>
            </w:rPr>
            <w:drawing>
              <wp:inline distT="0" distB="0" distL="0" distR="0" wp14:anchorId="4534EBE0" wp14:editId="1A49BD54">
                <wp:extent cx="1103235" cy="373487"/>
                <wp:effectExtent l="0" t="0" r="1905" b="0"/>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descr="Icon&#10;&#10;Description automatically generated"/>
                        <pic:cNvPicPr/>
                      </pic:nvPicPr>
                      <pic:blipFill>
                        <a:blip r:embed="rId2"/>
                        <a:stretch>
                          <a:fillRect/>
                        </a:stretch>
                      </pic:blipFill>
                      <pic:spPr>
                        <a:xfrm>
                          <a:off x="0" y="0"/>
                          <a:ext cx="1103235" cy="373487"/>
                        </a:xfrm>
                        <a:prstGeom prst="rect">
                          <a:avLst/>
                        </a:prstGeom>
                      </pic:spPr>
                    </pic:pic>
                  </a:graphicData>
                </a:graphic>
              </wp:inline>
            </w:drawing>
          </w:r>
        </w:p>
      </w:tc>
      <w:tc>
        <w:tcPr>
          <w:tcW w:w="6134" w:type="dxa"/>
          <w:tcBorders>
            <w:bottom w:val="single" w:sz="4" w:space="0" w:color="00807F"/>
          </w:tcBorders>
        </w:tcPr>
        <w:p w14:paraId="47796E31" w14:textId="77777777" w:rsidR="00EC272E" w:rsidRDefault="00EC272E" w:rsidP="00EC272E">
          <w:pPr>
            <w:jc w:val="right"/>
            <w:rPr>
              <w:rFonts w:cs="Arial"/>
              <w:b/>
              <w:color w:val="008080"/>
            </w:rPr>
          </w:pPr>
        </w:p>
        <w:p w14:paraId="18852B17" w14:textId="77777777" w:rsidR="00EC272E" w:rsidRPr="006B56E7" w:rsidRDefault="00EC272E" w:rsidP="00EC272E">
          <w:pPr>
            <w:jc w:val="right"/>
            <w:rPr>
              <w:rFonts w:ascii="Arial" w:hAnsi="Arial" w:cs="Arial"/>
              <w:b/>
              <w:color w:val="008080"/>
            </w:rPr>
          </w:pPr>
          <w:r w:rsidRPr="006B56E7">
            <w:rPr>
              <w:rFonts w:ascii="Arial" w:hAnsi="Arial" w:cs="Arial"/>
              <w:b/>
              <w:color w:val="008080"/>
            </w:rPr>
            <w:t xml:space="preserve">Health budget literacy, advocacy and accountability for </w:t>
          </w:r>
          <w:r w:rsidRPr="00EC272E">
            <w:rPr>
              <w:rFonts w:ascii="Arial" w:hAnsi="Arial" w:cs="Arial"/>
              <w:b/>
              <w:color w:val="008080"/>
            </w:rPr>
            <w:t>universal</w:t>
          </w:r>
          <w:r w:rsidRPr="006B56E7">
            <w:rPr>
              <w:rFonts w:ascii="Arial" w:hAnsi="Arial" w:cs="Arial"/>
              <w:b/>
              <w:color w:val="008080"/>
            </w:rPr>
            <w:t xml:space="preserve"> health coverage</w:t>
          </w:r>
        </w:p>
        <w:p w14:paraId="47D2CA4D" w14:textId="77777777" w:rsidR="00EC272E" w:rsidRDefault="00EC272E" w:rsidP="00EC272E">
          <w:pPr>
            <w:jc w:val="right"/>
            <w:rPr>
              <w:rFonts w:ascii="Arial" w:hAnsi="Arial" w:cs="Arial"/>
              <w:b/>
              <w:color w:val="3CA5DD"/>
            </w:rPr>
          </w:pPr>
          <w:r w:rsidRPr="006B56E7">
            <w:rPr>
              <w:rFonts w:ascii="Arial" w:hAnsi="Arial" w:cs="Arial"/>
              <w:b/>
              <w:color w:val="3CA5DD"/>
            </w:rPr>
            <w:t>Toolkit for capacity-building</w:t>
          </w:r>
        </w:p>
        <w:p w14:paraId="7CA7C79B" w14:textId="77777777" w:rsidR="00EC272E" w:rsidRDefault="00EC272E" w:rsidP="00EC272E">
          <w:pPr>
            <w:jc w:val="right"/>
            <w:rPr>
              <w:rFonts w:cs="Arial"/>
              <w:b/>
              <w:color w:val="3CA5DD"/>
            </w:rPr>
          </w:pPr>
        </w:p>
        <w:p w14:paraId="4BA18B21" w14:textId="77777777" w:rsidR="00EC272E" w:rsidRDefault="00EC272E" w:rsidP="00EC272E">
          <w:pPr>
            <w:jc w:val="right"/>
            <w:rPr>
              <w:rFonts w:cs="Arial"/>
              <w:b/>
              <w:color w:val="3CA5DD"/>
            </w:rPr>
          </w:pPr>
        </w:p>
      </w:tc>
    </w:tr>
  </w:tbl>
  <w:p w14:paraId="2D9BFBCB" w14:textId="77777777" w:rsidR="00EC272E" w:rsidRDefault="00EC2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F9C"/>
    <w:multiLevelType w:val="multilevel"/>
    <w:tmpl w:val="6152233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657FF"/>
    <w:multiLevelType w:val="hybridMultilevel"/>
    <w:tmpl w:val="4524EA68"/>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24461E7"/>
    <w:multiLevelType w:val="hybridMultilevel"/>
    <w:tmpl w:val="312E1E4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24381B"/>
    <w:multiLevelType w:val="hybridMultilevel"/>
    <w:tmpl w:val="28C223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2D43EF"/>
    <w:multiLevelType w:val="hybridMultilevel"/>
    <w:tmpl w:val="E4D452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5EE456B"/>
    <w:multiLevelType w:val="hybridMultilevel"/>
    <w:tmpl w:val="D76AB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FF42D7"/>
    <w:multiLevelType w:val="hybridMultilevel"/>
    <w:tmpl w:val="EB941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07780"/>
    <w:multiLevelType w:val="hybridMultilevel"/>
    <w:tmpl w:val="73364980"/>
    <w:lvl w:ilvl="0" w:tplc="E8A22D8C">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FD63C5"/>
    <w:multiLevelType w:val="hybridMultilevel"/>
    <w:tmpl w:val="B110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F3258"/>
    <w:multiLevelType w:val="hybridMultilevel"/>
    <w:tmpl w:val="2556C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7661210"/>
    <w:multiLevelType w:val="multilevel"/>
    <w:tmpl w:val="26C4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31C8C"/>
    <w:multiLevelType w:val="multilevel"/>
    <w:tmpl w:val="D6A8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73C06"/>
    <w:multiLevelType w:val="hybridMultilevel"/>
    <w:tmpl w:val="07942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186441F"/>
    <w:multiLevelType w:val="multilevel"/>
    <w:tmpl w:val="57BA148A"/>
    <w:lvl w:ilvl="0">
      <w:start w:val="1"/>
      <w:numFmt w:val="decimal"/>
      <w:lvlText w:val="%1."/>
      <w:lvlJc w:val="left"/>
      <w:pPr>
        <w:ind w:left="360" w:hanging="360"/>
      </w:pPr>
      <w:rPr>
        <w:rFonts w:cs="Times New Roman"/>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4" w15:restartNumberingAfterBreak="0">
    <w:nsid w:val="52CB02BA"/>
    <w:multiLevelType w:val="hybridMultilevel"/>
    <w:tmpl w:val="9962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0685F"/>
    <w:multiLevelType w:val="multilevel"/>
    <w:tmpl w:val="4A6A3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227DE8"/>
    <w:multiLevelType w:val="hybridMultilevel"/>
    <w:tmpl w:val="E22077E0"/>
    <w:lvl w:ilvl="0" w:tplc="E8A22D8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2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CE578A1"/>
    <w:multiLevelType w:val="hybridMultilevel"/>
    <w:tmpl w:val="27765C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3D93F5E"/>
    <w:multiLevelType w:val="hybridMultilevel"/>
    <w:tmpl w:val="4F76C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C3032F"/>
    <w:multiLevelType w:val="hybridMultilevel"/>
    <w:tmpl w:val="238CF9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8BF76B1"/>
    <w:multiLevelType w:val="hybridMultilevel"/>
    <w:tmpl w:val="70828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C1321E"/>
    <w:multiLevelType w:val="hybridMultilevel"/>
    <w:tmpl w:val="7B2E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9"/>
  </w:num>
  <w:num w:numId="4">
    <w:abstractNumId w:val="21"/>
  </w:num>
  <w:num w:numId="5">
    <w:abstractNumId w:val="12"/>
  </w:num>
  <w:num w:numId="6">
    <w:abstractNumId w:val="13"/>
  </w:num>
  <w:num w:numId="7">
    <w:abstractNumId w:val="8"/>
  </w:num>
  <w:num w:numId="8">
    <w:abstractNumId w:val="20"/>
  </w:num>
  <w:num w:numId="9">
    <w:abstractNumId w:val="18"/>
  </w:num>
  <w:num w:numId="10">
    <w:abstractNumId w:val="6"/>
  </w:num>
  <w:num w:numId="11">
    <w:abstractNumId w:val="14"/>
  </w:num>
  <w:num w:numId="12">
    <w:abstractNumId w:val="7"/>
  </w:num>
  <w:num w:numId="13">
    <w:abstractNumId w:val="9"/>
  </w:num>
  <w:num w:numId="14">
    <w:abstractNumId w:val="3"/>
  </w:num>
  <w:num w:numId="15">
    <w:abstractNumId w:val="11"/>
  </w:num>
  <w:num w:numId="16">
    <w:abstractNumId w:val="0"/>
  </w:num>
  <w:num w:numId="17">
    <w:abstractNumId w:val="15"/>
  </w:num>
  <w:num w:numId="18">
    <w:abstractNumId w:val="10"/>
  </w:num>
  <w:num w:numId="19">
    <w:abstractNumId w:val="2"/>
  </w:num>
  <w:num w:numId="20">
    <w:abstractNumId w:val="1"/>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2E"/>
    <w:rsid w:val="000425E2"/>
    <w:rsid w:val="00042CC5"/>
    <w:rsid w:val="000B1F5F"/>
    <w:rsid w:val="000D5BC0"/>
    <w:rsid w:val="002A0F3F"/>
    <w:rsid w:val="002D2BE4"/>
    <w:rsid w:val="003065AE"/>
    <w:rsid w:val="003268F6"/>
    <w:rsid w:val="003D124A"/>
    <w:rsid w:val="00431272"/>
    <w:rsid w:val="004334AD"/>
    <w:rsid w:val="004A24BB"/>
    <w:rsid w:val="005359DA"/>
    <w:rsid w:val="005A1022"/>
    <w:rsid w:val="005C14A4"/>
    <w:rsid w:val="00600C8D"/>
    <w:rsid w:val="00632360"/>
    <w:rsid w:val="007249A2"/>
    <w:rsid w:val="00784F91"/>
    <w:rsid w:val="007A4CB0"/>
    <w:rsid w:val="007B1413"/>
    <w:rsid w:val="007E23C4"/>
    <w:rsid w:val="00811D7C"/>
    <w:rsid w:val="008603E3"/>
    <w:rsid w:val="00896C8C"/>
    <w:rsid w:val="00953035"/>
    <w:rsid w:val="009A1B3E"/>
    <w:rsid w:val="00A0194E"/>
    <w:rsid w:val="00A431D5"/>
    <w:rsid w:val="00B45B06"/>
    <w:rsid w:val="00D1217B"/>
    <w:rsid w:val="00D34792"/>
    <w:rsid w:val="00DB2A7E"/>
    <w:rsid w:val="00DC29BE"/>
    <w:rsid w:val="00DD4A6B"/>
    <w:rsid w:val="00EA42DB"/>
    <w:rsid w:val="00EC272E"/>
    <w:rsid w:val="00EE5FBC"/>
    <w:rsid w:val="00F64B31"/>
    <w:rsid w:val="00F7170F"/>
  </w:rsids>
  <m:mathPr>
    <m:mathFont m:val="Cambria Math"/>
    <m:brkBin m:val="before"/>
    <m:brkBinSub m:val="--"/>
    <m:smallFrac m:val="0"/>
    <m:dispDef/>
    <m:lMargin m:val="0"/>
    <m:rMargin m:val="0"/>
    <m:defJc m:val="centerGroup"/>
    <m:wrapIndent m:val="1440"/>
    <m:intLim m:val="subSup"/>
    <m:naryLim m:val="undOvr"/>
  </m:mathPr>
  <w:themeFontLang w:val="en-CA"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0ABE3"/>
  <w15:chartTrackingRefBased/>
  <w15:docId w15:val="{0DC45A1E-7372-BC45-9040-348B3157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Heading3"/>
    <w:next w:val="Normal"/>
    <w:link w:val="Heading1Char"/>
    <w:uiPriority w:val="9"/>
    <w:qFormat/>
    <w:rsid w:val="00EC272E"/>
    <w:pPr>
      <w:outlineLvl w:val="0"/>
    </w:pPr>
    <w:rPr>
      <w:color w:val="008080"/>
      <w:sz w:val="44"/>
      <w:szCs w:val="44"/>
    </w:rPr>
  </w:style>
  <w:style w:type="paragraph" w:styleId="Heading2">
    <w:name w:val="heading 2"/>
    <w:basedOn w:val="Normal"/>
    <w:next w:val="Normal"/>
    <w:link w:val="Heading2Char"/>
    <w:uiPriority w:val="9"/>
    <w:semiHidden/>
    <w:unhideWhenUsed/>
    <w:qFormat/>
    <w:rsid w:val="00EC27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EC272E"/>
    <w:pPr>
      <w:spacing w:after="120"/>
      <w:jc w:val="both"/>
      <w:outlineLvl w:val="2"/>
    </w:pPr>
    <w:rPr>
      <w:rFonts w:ascii="Arial" w:eastAsia="MS Mincho" w:hAnsi="Arial" w:cs="Arial"/>
      <w:b/>
      <w:color w:val="3CA5DD"/>
      <w:sz w:val="28"/>
      <w:szCs w:val="28"/>
      <w:lang w:val="en-GB"/>
    </w:rPr>
  </w:style>
  <w:style w:type="paragraph" w:styleId="Heading4">
    <w:name w:val="heading 4"/>
    <w:basedOn w:val="Normal"/>
    <w:next w:val="Normal"/>
    <w:link w:val="Heading4Char"/>
    <w:uiPriority w:val="9"/>
    <w:qFormat/>
    <w:rsid w:val="00EC272E"/>
    <w:pPr>
      <w:spacing w:after="120"/>
      <w:jc w:val="both"/>
      <w:outlineLvl w:val="3"/>
    </w:pPr>
    <w:rPr>
      <w:rFonts w:ascii="Arial" w:eastAsia="MS Mincho" w:hAnsi="Arial" w:cs="Arial"/>
      <w:b/>
      <w:iCs/>
      <w:color w:val="3CA5D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A0194E"/>
    <w:pPr>
      <w:tabs>
        <w:tab w:val="left" w:pos="630"/>
        <w:tab w:val="right" w:pos="10070"/>
      </w:tabs>
      <w:spacing w:before="360" w:line="274" w:lineRule="auto"/>
    </w:pPr>
    <w:rPr>
      <w:rFonts w:ascii="Arial" w:hAnsi="Arial" w:cs="Tahoma (Body CS)"/>
      <w:bCs/>
      <w:noProof/>
      <w:color w:val="013147"/>
      <w:sz w:val="28"/>
      <w:lang w:val="en-US"/>
    </w:rPr>
  </w:style>
  <w:style w:type="paragraph" w:styleId="TOC3">
    <w:name w:val="toc 3"/>
    <w:basedOn w:val="Normal"/>
    <w:next w:val="Normal"/>
    <w:autoRedefine/>
    <w:uiPriority w:val="39"/>
    <w:unhideWhenUsed/>
    <w:qFormat/>
    <w:rsid w:val="00A0194E"/>
    <w:pPr>
      <w:spacing w:before="120" w:line="274" w:lineRule="auto"/>
      <w:ind w:left="210"/>
    </w:pPr>
    <w:rPr>
      <w:rFonts w:ascii="Arial" w:hAnsi="Arial"/>
      <w:color w:val="6E9AC7"/>
      <w:sz w:val="20"/>
      <w:szCs w:val="20"/>
      <w:lang w:val="en-US"/>
    </w:rPr>
  </w:style>
  <w:style w:type="paragraph" w:styleId="TOC4">
    <w:name w:val="toc 4"/>
    <w:basedOn w:val="Normal"/>
    <w:next w:val="Normal"/>
    <w:autoRedefine/>
    <w:uiPriority w:val="39"/>
    <w:unhideWhenUsed/>
    <w:qFormat/>
    <w:rsid w:val="00A0194E"/>
    <w:pPr>
      <w:spacing w:before="120" w:line="274" w:lineRule="auto"/>
      <w:ind w:left="420"/>
    </w:pPr>
    <w:rPr>
      <w:rFonts w:ascii="Arial" w:hAnsi="Arial"/>
      <w:color w:val="6E9AC7"/>
      <w:sz w:val="20"/>
      <w:szCs w:val="20"/>
      <w:lang w:val="en-US"/>
    </w:rPr>
  </w:style>
  <w:style w:type="paragraph" w:styleId="TOC5">
    <w:name w:val="toc 5"/>
    <w:basedOn w:val="Normal"/>
    <w:next w:val="Normal"/>
    <w:autoRedefine/>
    <w:uiPriority w:val="39"/>
    <w:unhideWhenUsed/>
    <w:qFormat/>
    <w:rsid w:val="00A0194E"/>
    <w:pPr>
      <w:spacing w:before="120" w:line="274" w:lineRule="auto"/>
      <w:ind w:left="629"/>
    </w:pPr>
    <w:rPr>
      <w:rFonts w:ascii="Arial" w:hAnsi="Arial"/>
      <w:color w:val="6E9AC7"/>
      <w:sz w:val="20"/>
      <w:szCs w:val="20"/>
      <w:lang w:val="en-US"/>
    </w:rPr>
  </w:style>
  <w:style w:type="paragraph" w:styleId="TOC6">
    <w:name w:val="toc 6"/>
    <w:basedOn w:val="Normal"/>
    <w:next w:val="Normal"/>
    <w:autoRedefine/>
    <w:uiPriority w:val="39"/>
    <w:unhideWhenUsed/>
    <w:qFormat/>
    <w:rsid w:val="00A0194E"/>
    <w:pPr>
      <w:spacing w:before="120" w:line="274" w:lineRule="auto"/>
      <w:ind w:left="839"/>
    </w:pPr>
    <w:rPr>
      <w:rFonts w:ascii="Arial" w:hAnsi="Arial"/>
      <w:color w:val="6E9AC7"/>
      <w:sz w:val="20"/>
      <w:szCs w:val="20"/>
      <w:lang w:val="en-US"/>
    </w:rPr>
  </w:style>
  <w:style w:type="paragraph" w:styleId="TOC7">
    <w:name w:val="toc 7"/>
    <w:basedOn w:val="Normal"/>
    <w:next w:val="Normal"/>
    <w:autoRedefine/>
    <w:uiPriority w:val="39"/>
    <w:unhideWhenUsed/>
    <w:qFormat/>
    <w:rsid w:val="00A0194E"/>
    <w:pPr>
      <w:spacing w:before="120" w:line="274" w:lineRule="auto"/>
      <w:ind w:left="1049"/>
    </w:pPr>
    <w:rPr>
      <w:rFonts w:ascii="Arial" w:hAnsi="Arial"/>
      <w:color w:val="6E9AC7"/>
      <w:sz w:val="20"/>
      <w:szCs w:val="20"/>
      <w:lang w:val="en-US"/>
    </w:rPr>
  </w:style>
  <w:style w:type="paragraph" w:styleId="TOC8">
    <w:name w:val="toc 8"/>
    <w:basedOn w:val="Normal"/>
    <w:next w:val="Normal"/>
    <w:autoRedefine/>
    <w:uiPriority w:val="39"/>
    <w:unhideWhenUsed/>
    <w:qFormat/>
    <w:rsid w:val="00A0194E"/>
    <w:pPr>
      <w:spacing w:before="120" w:line="274" w:lineRule="auto"/>
      <w:ind w:left="1259"/>
    </w:pPr>
    <w:rPr>
      <w:rFonts w:ascii="Arial" w:hAnsi="Arial"/>
      <w:color w:val="6E9AC7"/>
      <w:sz w:val="20"/>
      <w:szCs w:val="20"/>
      <w:lang w:val="en-US"/>
    </w:rPr>
  </w:style>
  <w:style w:type="paragraph" w:styleId="TOC9">
    <w:name w:val="toc 9"/>
    <w:basedOn w:val="Normal"/>
    <w:next w:val="Normal"/>
    <w:autoRedefine/>
    <w:uiPriority w:val="39"/>
    <w:unhideWhenUsed/>
    <w:qFormat/>
    <w:rsid w:val="00A0194E"/>
    <w:pPr>
      <w:spacing w:before="120" w:line="274" w:lineRule="auto"/>
      <w:ind w:left="1469"/>
    </w:pPr>
    <w:rPr>
      <w:rFonts w:ascii="Arial" w:hAnsi="Arial"/>
      <w:color w:val="6E9AC7"/>
      <w:sz w:val="20"/>
      <w:szCs w:val="20"/>
      <w:lang w:val="en-US"/>
    </w:rPr>
  </w:style>
  <w:style w:type="paragraph" w:styleId="TOC2">
    <w:name w:val="toc 2"/>
    <w:basedOn w:val="Normal"/>
    <w:next w:val="Normal"/>
    <w:autoRedefine/>
    <w:uiPriority w:val="39"/>
    <w:unhideWhenUsed/>
    <w:qFormat/>
    <w:rsid w:val="00A0194E"/>
    <w:pPr>
      <w:spacing w:before="240" w:line="274" w:lineRule="auto"/>
    </w:pPr>
    <w:rPr>
      <w:rFonts w:ascii="Arial" w:hAnsi="Arial" w:cs="Tahoma (Body CS)"/>
      <w:bCs/>
      <w:color w:val="013147"/>
      <w:szCs w:val="20"/>
      <w:lang w:val="en-US"/>
    </w:rPr>
  </w:style>
  <w:style w:type="character" w:customStyle="1" w:styleId="Heading3Char">
    <w:name w:val="Heading 3 Char"/>
    <w:basedOn w:val="DefaultParagraphFont"/>
    <w:link w:val="Heading3"/>
    <w:uiPriority w:val="9"/>
    <w:rsid w:val="00EC272E"/>
    <w:rPr>
      <w:rFonts w:ascii="Arial" w:eastAsia="MS Mincho" w:hAnsi="Arial" w:cs="Arial"/>
      <w:b/>
      <w:color w:val="3CA5DD"/>
      <w:sz w:val="28"/>
      <w:szCs w:val="28"/>
      <w:lang w:val="en-GB"/>
    </w:rPr>
  </w:style>
  <w:style w:type="character" w:customStyle="1" w:styleId="Heading4Char">
    <w:name w:val="Heading 4 Char"/>
    <w:basedOn w:val="DefaultParagraphFont"/>
    <w:link w:val="Heading4"/>
    <w:uiPriority w:val="9"/>
    <w:rsid w:val="00EC272E"/>
    <w:rPr>
      <w:rFonts w:ascii="Arial" w:eastAsia="MS Mincho" w:hAnsi="Arial" w:cs="Arial"/>
      <w:b/>
      <w:iCs/>
      <w:color w:val="3CA5DD"/>
      <w:lang w:val="en-GB"/>
    </w:rPr>
  </w:style>
  <w:style w:type="paragraph" w:styleId="FootnoteText">
    <w:name w:val="footnote text"/>
    <w:basedOn w:val="Normal"/>
    <w:link w:val="FootnoteTextChar"/>
    <w:uiPriority w:val="99"/>
    <w:unhideWhenUsed/>
    <w:rsid w:val="00EC272E"/>
    <w:rPr>
      <w:rFonts w:ascii="Arial" w:eastAsia="MS Mincho" w:hAnsi="Arial" w:cs="Times New Roman"/>
      <w:color w:val="767171"/>
      <w:sz w:val="18"/>
      <w:szCs w:val="20"/>
      <w:lang w:val="en-GB"/>
    </w:rPr>
  </w:style>
  <w:style w:type="character" w:customStyle="1" w:styleId="FootnoteTextChar">
    <w:name w:val="Footnote Text Char"/>
    <w:basedOn w:val="DefaultParagraphFont"/>
    <w:link w:val="FootnoteText"/>
    <w:uiPriority w:val="99"/>
    <w:rsid w:val="00EC272E"/>
    <w:rPr>
      <w:rFonts w:ascii="Arial" w:eastAsia="MS Mincho" w:hAnsi="Arial" w:cs="Times New Roman"/>
      <w:color w:val="767171"/>
      <w:sz w:val="18"/>
      <w:szCs w:val="20"/>
      <w:lang w:val="en-GB"/>
    </w:rPr>
  </w:style>
  <w:style w:type="character" w:styleId="FootnoteReference">
    <w:name w:val="footnote reference"/>
    <w:basedOn w:val="DefaultParagraphFont"/>
    <w:uiPriority w:val="99"/>
    <w:unhideWhenUsed/>
    <w:rsid w:val="00EC272E"/>
    <w:rPr>
      <w:vertAlign w:val="superscript"/>
    </w:rPr>
  </w:style>
  <w:style w:type="paragraph" w:customStyle="1" w:styleId="TableHeadings">
    <w:name w:val="Table Headings"/>
    <w:basedOn w:val="Normal"/>
    <w:qFormat/>
    <w:rsid w:val="00EC272E"/>
    <w:rPr>
      <w:rFonts w:ascii="Arial" w:eastAsia="MS Mincho" w:hAnsi="Arial" w:cs="Arial"/>
      <w:b/>
      <w:bCs/>
      <w:iCs/>
      <w:color w:val="FFFFFF" w:themeColor="background1"/>
      <w:sz w:val="22"/>
      <w:lang w:val="en-GB"/>
    </w:rPr>
  </w:style>
  <w:style w:type="paragraph" w:styleId="Header">
    <w:name w:val="header"/>
    <w:basedOn w:val="Normal"/>
    <w:link w:val="HeaderChar"/>
    <w:uiPriority w:val="99"/>
    <w:unhideWhenUsed/>
    <w:rsid w:val="00EC272E"/>
    <w:pPr>
      <w:tabs>
        <w:tab w:val="center" w:pos="4680"/>
        <w:tab w:val="right" w:pos="9360"/>
      </w:tabs>
    </w:pPr>
  </w:style>
  <w:style w:type="character" w:customStyle="1" w:styleId="HeaderChar">
    <w:name w:val="Header Char"/>
    <w:basedOn w:val="DefaultParagraphFont"/>
    <w:link w:val="Header"/>
    <w:uiPriority w:val="99"/>
    <w:rsid w:val="00EC272E"/>
    <w:rPr>
      <w:rFonts w:eastAsiaTheme="minorEastAsia"/>
    </w:rPr>
  </w:style>
  <w:style w:type="paragraph" w:styleId="Footer">
    <w:name w:val="footer"/>
    <w:basedOn w:val="Normal"/>
    <w:link w:val="FooterChar"/>
    <w:uiPriority w:val="99"/>
    <w:unhideWhenUsed/>
    <w:rsid w:val="00EC272E"/>
    <w:pPr>
      <w:tabs>
        <w:tab w:val="center" w:pos="4680"/>
        <w:tab w:val="right" w:pos="9360"/>
      </w:tabs>
    </w:pPr>
  </w:style>
  <w:style w:type="character" w:customStyle="1" w:styleId="FooterChar">
    <w:name w:val="Footer Char"/>
    <w:basedOn w:val="DefaultParagraphFont"/>
    <w:link w:val="Footer"/>
    <w:uiPriority w:val="99"/>
    <w:rsid w:val="00EC272E"/>
    <w:rPr>
      <w:rFonts w:eastAsiaTheme="minorEastAsia"/>
    </w:rPr>
  </w:style>
  <w:style w:type="table" w:styleId="TableGrid">
    <w:name w:val="Table Grid"/>
    <w:basedOn w:val="TableNormal"/>
    <w:uiPriority w:val="59"/>
    <w:rsid w:val="00EC272E"/>
    <w:rPr>
      <w:rFonts w:ascii="Garamond" w:eastAsia="Times New Roman" w:hAnsi="Garamond"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C272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C272E"/>
    <w:rPr>
      <w:rFonts w:ascii="Arial" w:eastAsia="MS Mincho" w:hAnsi="Arial" w:cs="Arial"/>
      <w:b/>
      <w:color w:val="008080"/>
      <w:sz w:val="44"/>
      <w:szCs w:val="44"/>
      <w:lang w:val="en-GB"/>
    </w:rPr>
  </w:style>
  <w:style w:type="character" w:styleId="Hyperlink">
    <w:name w:val="Hyperlink"/>
    <w:basedOn w:val="DefaultParagraphFont"/>
    <w:uiPriority w:val="99"/>
    <w:unhideWhenUsed/>
    <w:rsid w:val="00F64B31"/>
    <w:rPr>
      <w:color w:val="3CA5DD"/>
      <w:u w:val="none"/>
    </w:rPr>
  </w:style>
  <w:style w:type="character" w:styleId="FollowedHyperlink">
    <w:name w:val="FollowedHyperlink"/>
    <w:basedOn w:val="DefaultParagraphFont"/>
    <w:uiPriority w:val="99"/>
    <w:semiHidden/>
    <w:unhideWhenUsed/>
    <w:rsid w:val="00DC29BE"/>
    <w:rPr>
      <w:color w:val="954F72" w:themeColor="followedHyperlink"/>
      <w:u w:val="single"/>
    </w:rPr>
  </w:style>
  <w:style w:type="paragraph" w:styleId="ListParagraph">
    <w:name w:val="List Paragraph"/>
    <w:basedOn w:val="Normal"/>
    <w:uiPriority w:val="34"/>
    <w:qFormat/>
    <w:rsid w:val="007249A2"/>
    <w:pPr>
      <w:ind w:left="720"/>
    </w:pPr>
    <w:rPr>
      <w:rFonts w:ascii="Times New Roman" w:eastAsia="MS Mincho" w:hAnsi="Times New Roman" w:cs="Times New Roman"/>
      <w:lang w:val="en-GB"/>
    </w:rPr>
  </w:style>
  <w:style w:type="paragraph" w:styleId="CommentText">
    <w:name w:val="annotation text"/>
    <w:basedOn w:val="Normal"/>
    <w:link w:val="CommentTextChar"/>
    <w:uiPriority w:val="99"/>
    <w:unhideWhenUsed/>
    <w:rsid w:val="004A24BB"/>
    <w:rPr>
      <w:rFonts w:ascii="Times New Roman" w:eastAsia="MS Mincho" w:hAnsi="Times New Roman" w:cs="Times New Roman"/>
      <w:sz w:val="20"/>
      <w:szCs w:val="20"/>
      <w:lang w:val="en-GB"/>
    </w:rPr>
  </w:style>
  <w:style w:type="character" w:customStyle="1" w:styleId="CommentTextChar">
    <w:name w:val="Comment Text Char"/>
    <w:basedOn w:val="DefaultParagraphFont"/>
    <w:link w:val="CommentText"/>
    <w:uiPriority w:val="99"/>
    <w:rsid w:val="004A24BB"/>
    <w:rPr>
      <w:rFonts w:ascii="Times New Roman" w:eastAsia="MS Mincho"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ho.int/news/item/04-03-2021-resources-portal-on-pfm-for-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Schroeter</dc:creator>
  <cp:keywords/>
  <dc:description/>
  <cp:lastModifiedBy>Matt Schroeter</cp:lastModifiedBy>
  <cp:revision>2</cp:revision>
  <dcterms:created xsi:type="dcterms:W3CDTF">2021-05-17T19:35:00Z</dcterms:created>
  <dcterms:modified xsi:type="dcterms:W3CDTF">2021-05-17T19:35:00Z</dcterms:modified>
</cp:coreProperties>
</file>