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D27A" w14:textId="755C3586" w:rsidR="00280788" w:rsidRPr="00093C31" w:rsidRDefault="00280788" w:rsidP="00280788">
      <w:pPr>
        <w:pStyle w:val="Heading1"/>
        <w:jc w:val="left"/>
      </w:pPr>
      <w:bookmarkStart w:id="0" w:name="_Toc72157323"/>
      <w:r w:rsidRPr="00093C31">
        <w:t>B5. Key budget classifications</w:t>
      </w:r>
      <w:bookmarkEnd w:id="0"/>
    </w:p>
    <w:p w14:paraId="21F6B955" w14:textId="77777777" w:rsidR="00280788" w:rsidRDefault="00280788" w:rsidP="00280788">
      <w:pPr>
        <w:spacing w:after="120"/>
        <w:jc w:val="both"/>
        <w:rPr>
          <w:rFonts w:ascii="Arial" w:hAnsi="Arial" w:cs="Arial"/>
          <w:b/>
          <w:sz w:val="22"/>
        </w:rPr>
      </w:pPr>
    </w:p>
    <w:p w14:paraId="6444656A" w14:textId="6D7E5102" w:rsidR="00280788" w:rsidRPr="00093C31" w:rsidRDefault="00280788" w:rsidP="00280788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sz w:val="22"/>
        </w:rPr>
        <w:t>The classification and organization of a budget are central to preparation of sector budget proposals</w:t>
      </w:r>
      <w:r w:rsidRPr="00093C31">
        <w:rPr>
          <w:rFonts w:ascii="Arial" w:hAnsi="Arial" w:cs="Arial"/>
          <w:b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(64)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Budget classifications serve to categorize public expenditure in the annual budget law and thereby structure the budget presentation. They provide a normative framework for policy development and accountability </w:t>
      </w:r>
      <w:r w:rsidRPr="00093C31">
        <w:rPr>
          <w:rFonts w:ascii="Arial" w:hAnsi="Arial" w:cs="Arial"/>
          <w:i/>
          <w:sz w:val="22"/>
        </w:rPr>
        <w:t>(</w:t>
      </w:r>
      <w:r w:rsidRPr="00093C31">
        <w:rPr>
          <w:rFonts w:ascii="Arial" w:hAnsi="Arial" w:cs="Arial"/>
          <w:i/>
          <w:sz w:val="22"/>
          <w:szCs w:val="22"/>
        </w:rPr>
        <w:t>62)</w:t>
      </w:r>
      <w:r w:rsidRPr="00093C31">
        <w:rPr>
          <w:rFonts w:ascii="Arial" w:hAnsi="Arial" w:cs="Arial"/>
          <w:sz w:val="22"/>
          <w:szCs w:val="22"/>
        </w:rPr>
        <w:t xml:space="preserve">. The main classifications and their applicability to health are summarized in Table 3. </w:t>
      </w:r>
    </w:p>
    <w:p w14:paraId="4E3D83E8" w14:textId="77777777" w:rsidR="00280788" w:rsidRDefault="00280788" w:rsidP="00280788">
      <w:pPr>
        <w:spacing w:after="120"/>
        <w:jc w:val="both"/>
        <w:rPr>
          <w:rFonts w:ascii="Arial" w:hAnsi="Arial" w:cs="Arial"/>
          <w:sz w:val="22"/>
        </w:rPr>
      </w:pPr>
    </w:p>
    <w:p w14:paraId="42DCB4CD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93C31">
        <w:rPr>
          <w:rFonts w:ascii="Arial" w:hAnsi="Arial" w:cs="Arial"/>
          <w:b/>
          <w:sz w:val="22"/>
          <w:szCs w:val="22"/>
        </w:rPr>
        <w:t>Table 3. Main types of budget classification and their application to health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610"/>
        <w:gridCol w:w="7166"/>
      </w:tblGrid>
      <w:tr w:rsidR="00280788" w:rsidRPr="00093C31" w14:paraId="1A8AFAAA" w14:textId="77777777" w:rsidTr="00CE0880">
        <w:tc>
          <w:tcPr>
            <w:tcW w:w="1548" w:type="dxa"/>
            <w:shd w:val="clear" w:color="auto" w:fill="B4C6E7"/>
          </w:tcPr>
          <w:p w14:paraId="2811035A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3C31">
              <w:rPr>
                <w:rFonts w:ascii="Arial" w:hAnsi="Arial" w:cs="Arial"/>
                <w:b/>
                <w:bCs/>
                <w:sz w:val="22"/>
                <w:szCs w:val="22"/>
              </w:rPr>
              <w:t>Budget classification</w:t>
            </w:r>
          </w:p>
        </w:tc>
        <w:tc>
          <w:tcPr>
            <w:tcW w:w="7166" w:type="dxa"/>
            <w:shd w:val="clear" w:color="auto" w:fill="B4C6E7"/>
          </w:tcPr>
          <w:p w14:paraId="2FBA563C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0788" w:rsidRPr="00093C31" w14:paraId="59D436C9" w14:textId="77777777" w:rsidTr="00CE0880">
        <w:tc>
          <w:tcPr>
            <w:tcW w:w="1548" w:type="dxa"/>
            <w:shd w:val="clear" w:color="auto" w:fill="2F5496"/>
          </w:tcPr>
          <w:p w14:paraId="60BF0E71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93C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Economic</w:t>
            </w:r>
          </w:p>
        </w:tc>
        <w:tc>
          <w:tcPr>
            <w:tcW w:w="7166" w:type="dxa"/>
            <w:shd w:val="clear" w:color="auto" w:fill="A1B8E1"/>
          </w:tcPr>
          <w:p w14:paraId="1C99F838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C31">
              <w:rPr>
                <w:rFonts w:ascii="Arial" w:hAnsi="Arial" w:cs="Arial"/>
                <w:sz w:val="22"/>
                <w:szCs w:val="22"/>
              </w:rPr>
              <w:t xml:space="preserve">Classifies expenditure by economic categories </w:t>
            </w:r>
            <w:r w:rsidRPr="00093C3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Start"/>
            <w:r w:rsidRPr="00093C31">
              <w:rPr>
                <w:rFonts w:ascii="Arial" w:hAnsi="Arial" w:cs="Arial"/>
                <w:sz w:val="22"/>
                <w:szCs w:val="22"/>
                <w:lang w:val="en-US"/>
              </w:rPr>
              <w:t>e.g.</w:t>
            </w:r>
            <w:proofErr w:type="gramEnd"/>
            <w:r w:rsidRPr="00093C31">
              <w:rPr>
                <w:rFonts w:ascii="Arial" w:hAnsi="Arial" w:cs="Arial"/>
                <w:sz w:val="22"/>
                <w:szCs w:val="22"/>
                <w:lang w:val="en-US"/>
              </w:rPr>
              <w:t xml:space="preserve"> salaries, goods, services) To be consistent with the Government Finance Statistics Manual (GFSM)2001 economic classification</w:t>
            </w:r>
            <w:r w:rsidRPr="00093C3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(53)</w:t>
            </w:r>
            <w:r w:rsidRPr="00093C31">
              <w:rPr>
                <w:rFonts w:ascii="Arial" w:hAnsi="Arial" w:cs="Arial"/>
                <w:iCs/>
                <w:sz w:val="22"/>
                <w:szCs w:val="22"/>
                <w:lang w:val="en-US"/>
              </w:rPr>
              <w:t>.</w:t>
            </w:r>
            <w:r w:rsidRPr="00093C31">
              <w:rPr>
                <w:rFonts w:ascii="Arial" w:hAnsi="Arial" w:cs="Arial"/>
                <w:sz w:val="22"/>
                <w:szCs w:val="22"/>
                <w:lang w:val="en-US"/>
              </w:rPr>
              <w:t xml:space="preserve"> Economic classifications are often associated with input based or </w:t>
            </w:r>
            <w:proofErr w:type="gramStart"/>
            <w:r w:rsidRPr="00093C31">
              <w:rPr>
                <w:rFonts w:ascii="Arial" w:hAnsi="Arial" w:cs="Arial"/>
                <w:sz w:val="22"/>
                <w:szCs w:val="22"/>
                <w:lang w:val="en-US"/>
              </w:rPr>
              <w:t>line item</w:t>
            </w:r>
            <w:proofErr w:type="gramEnd"/>
            <w:r w:rsidRPr="00093C31">
              <w:rPr>
                <w:rFonts w:ascii="Arial" w:hAnsi="Arial" w:cs="Arial"/>
                <w:sz w:val="22"/>
                <w:szCs w:val="22"/>
                <w:lang w:val="en-US"/>
              </w:rPr>
              <w:t xml:space="preserve"> budgets. </w:t>
            </w:r>
          </w:p>
        </w:tc>
      </w:tr>
      <w:tr w:rsidR="00280788" w:rsidRPr="00093C31" w14:paraId="517D5D8F" w14:textId="77777777" w:rsidTr="00CE0880">
        <w:tc>
          <w:tcPr>
            <w:tcW w:w="1548" w:type="dxa"/>
            <w:shd w:val="clear" w:color="auto" w:fill="2F5496"/>
          </w:tcPr>
          <w:p w14:paraId="3D46B0EF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93C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Administrative</w:t>
            </w:r>
          </w:p>
        </w:tc>
        <w:tc>
          <w:tcPr>
            <w:tcW w:w="7166" w:type="dxa"/>
            <w:shd w:val="clear" w:color="auto" w:fill="D9E2F3"/>
          </w:tcPr>
          <w:p w14:paraId="5BFE9A96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3C31">
              <w:rPr>
                <w:rFonts w:ascii="Arial" w:hAnsi="Arial" w:cs="Arial"/>
                <w:sz w:val="22"/>
                <w:szCs w:val="22"/>
              </w:rPr>
              <w:t>Classifies expenditures by administrative entities (</w:t>
            </w:r>
            <w:proofErr w:type="gramStart"/>
            <w:r w:rsidRPr="00093C3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93C31">
              <w:rPr>
                <w:rFonts w:ascii="Arial" w:hAnsi="Arial" w:cs="Arial"/>
                <w:sz w:val="22"/>
                <w:szCs w:val="22"/>
              </w:rPr>
              <w:t xml:space="preserve"> agencies, health facilities) responsible for budget management </w:t>
            </w:r>
          </w:p>
        </w:tc>
      </w:tr>
      <w:tr w:rsidR="00280788" w:rsidRPr="00093C31" w14:paraId="3F0A221E" w14:textId="77777777" w:rsidTr="00CE0880">
        <w:tc>
          <w:tcPr>
            <w:tcW w:w="1548" w:type="dxa"/>
            <w:shd w:val="clear" w:color="auto" w:fill="2F5496"/>
          </w:tcPr>
          <w:p w14:paraId="517B1476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93C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Functional </w:t>
            </w:r>
          </w:p>
        </w:tc>
        <w:tc>
          <w:tcPr>
            <w:tcW w:w="7166" w:type="dxa"/>
            <w:shd w:val="clear" w:color="auto" w:fill="A1B8E1"/>
          </w:tcPr>
          <w:p w14:paraId="79CCC0B7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3C31">
              <w:rPr>
                <w:rFonts w:ascii="Arial" w:hAnsi="Arial" w:cs="Arial"/>
                <w:sz w:val="22"/>
                <w:szCs w:val="22"/>
              </w:rPr>
              <w:t>Categorizes expenditures by sector (</w:t>
            </w:r>
            <w:proofErr w:type="gramStart"/>
            <w:r w:rsidRPr="00093C3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93C31">
              <w:rPr>
                <w:rFonts w:ascii="Arial" w:hAnsi="Arial" w:cs="Arial"/>
                <w:sz w:val="22"/>
                <w:szCs w:val="22"/>
              </w:rPr>
              <w:t xml:space="preserve"> health, education) Within each sector, subfunctions of expenditures </w:t>
            </w:r>
            <w:r w:rsidRPr="00093C31">
              <w:rPr>
                <w:rFonts w:ascii="Arial" w:hAnsi="Arial" w:cs="Arial"/>
                <w:sz w:val="22"/>
                <w:szCs w:val="22"/>
                <w:lang w:val="en-US"/>
              </w:rPr>
              <w:t>(e.g. outpatient services, public health services) are further divided into classes (e.g. outpatient services include general medical services, specialized medical services, dental services and paramedical services). Categories have been pre-defined internationally for the purposes of comparison</w:t>
            </w:r>
            <w:r w:rsidRPr="00093C3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(53)</w:t>
            </w:r>
            <w:r w:rsidRPr="00093C31">
              <w:rPr>
                <w:rFonts w:ascii="Arial" w:hAnsi="Arial" w:cs="Arial"/>
                <w:iCs/>
                <w:sz w:val="22"/>
                <w:szCs w:val="22"/>
                <w:lang w:val="en-US"/>
              </w:rPr>
              <w:t>.</w:t>
            </w:r>
          </w:p>
        </w:tc>
      </w:tr>
      <w:tr w:rsidR="00280788" w:rsidRPr="00093C31" w14:paraId="180A7A37" w14:textId="77777777" w:rsidTr="00CE0880">
        <w:tc>
          <w:tcPr>
            <w:tcW w:w="1548" w:type="dxa"/>
            <w:shd w:val="clear" w:color="auto" w:fill="2F5496"/>
          </w:tcPr>
          <w:p w14:paraId="02CBB9A3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93C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Programme</w:t>
            </w:r>
          </w:p>
        </w:tc>
        <w:tc>
          <w:tcPr>
            <w:tcW w:w="7166" w:type="dxa"/>
            <w:shd w:val="clear" w:color="auto" w:fill="D9E2F3"/>
          </w:tcPr>
          <w:p w14:paraId="5C9D426F" w14:textId="77777777" w:rsidR="00280788" w:rsidRPr="00093C31" w:rsidRDefault="00280788" w:rsidP="00CE08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C31">
              <w:rPr>
                <w:rFonts w:ascii="Arial" w:hAnsi="Arial" w:cs="Arial"/>
                <w:sz w:val="22"/>
                <w:szCs w:val="22"/>
              </w:rPr>
              <w:t>Classifies and groups expenditure by policy objective or outputs for the sector (</w:t>
            </w:r>
            <w:proofErr w:type="gramStart"/>
            <w:r w:rsidRPr="00093C3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93C31">
              <w:rPr>
                <w:rFonts w:ascii="Arial" w:hAnsi="Arial" w:cs="Arial"/>
                <w:sz w:val="22"/>
                <w:szCs w:val="22"/>
              </w:rPr>
              <w:t xml:space="preserve"> maternal health, primary health care, quality of care) irrespective of their economic nature. Unlike other classifications this is meant to be country specific. Activity based classification </w:t>
            </w:r>
            <w:proofErr w:type="gramStart"/>
            <w:r w:rsidRPr="00093C3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93C31">
              <w:rPr>
                <w:rFonts w:ascii="Arial" w:hAnsi="Arial" w:cs="Arial"/>
                <w:sz w:val="22"/>
                <w:szCs w:val="22"/>
              </w:rPr>
              <w:t xml:space="preserve"> provision of supplementary food has also been introduced in some countries prior or supplementary to larger budgetary programmes, as an effort to group expenditures into coherent policy actions </w:t>
            </w:r>
            <w:r w:rsidRPr="00093C3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(54)</w:t>
            </w:r>
            <w:r w:rsidRPr="00093C31">
              <w:rPr>
                <w:rFonts w:ascii="Arial" w:hAnsi="Arial" w:cs="Arial"/>
                <w:iCs/>
                <w:sz w:val="22"/>
                <w:szCs w:val="22"/>
                <w:lang w:val="en-US"/>
              </w:rPr>
              <w:t>.</w:t>
            </w:r>
          </w:p>
        </w:tc>
      </w:tr>
    </w:tbl>
    <w:p w14:paraId="64FF4AF2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EB243F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93C31">
        <w:rPr>
          <w:rFonts w:ascii="Arial" w:hAnsi="Arial" w:cs="Arial"/>
          <w:sz w:val="18"/>
          <w:szCs w:val="18"/>
        </w:rPr>
        <w:t xml:space="preserve">Source: adapted from reference </w:t>
      </w:r>
      <w:r w:rsidRPr="00093C31">
        <w:rPr>
          <w:rFonts w:ascii="Arial" w:hAnsi="Arial" w:cs="Arial"/>
          <w:i/>
          <w:sz w:val="18"/>
          <w:szCs w:val="18"/>
        </w:rPr>
        <w:t>62</w:t>
      </w:r>
    </w:p>
    <w:p w14:paraId="47DA41CE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B1B492A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choice of budget </w:t>
      </w:r>
      <w:r w:rsidRPr="00093C31">
        <w:rPr>
          <w:rFonts w:ascii="Arial" w:hAnsi="Arial" w:cs="Arial"/>
          <w:sz w:val="22"/>
          <w:szCs w:val="22"/>
        </w:rPr>
        <w:t>classification is</w:t>
      </w:r>
      <w:r w:rsidRPr="00093C31">
        <w:rPr>
          <w:rFonts w:ascii="Arial" w:hAnsi="Arial" w:cs="Arial"/>
          <w:sz w:val="22"/>
        </w:rPr>
        <w:t xml:space="preserve"> crucial for sectors because </w:t>
      </w:r>
      <w:r w:rsidRPr="00093C31">
        <w:rPr>
          <w:rFonts w:ascii="Arial" w:hAnsi="Arial" w:cs="Arial"/>
          <w:sz w:val="22"/>
          <w:szCs w:val="22"/>
        </w:rPr>
        <w:t>it pre-empts</w:t>
      </w:r>
      <w:r w:rsidRPr="00093C31">
        <w:rPr>
          <w:rFonts w:ascii="Arial" w:hAnsi="Arial" w:cs="Arial"/>
          <w:sz w:val="22"/>
        </w:rPr>
        <w:t xml:space="preserve"> the underlying rules for budget implementation and plays a pivotal role in actual spending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(62)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00D2951F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lastRenderedPageBreak/>
        <w:t>The choice is an</w:t>
      </w:r>
      <w:r w:rsidRPr="00093C31">
        <w:rPr>
          <w:rFonts w:ascii="Arial" w:hAnsi="Arial" w:cs="Arial"/>
          <w:sz w:val="22"/>
        </w:rPr>
        <w:t xml:space="preserve"> important connection between </w:t>
      </w:r>
      <w:r w:rsidRPr="00093C31">
        <w:rPr>
          <w:rFonts w:ascii="Arial" w:hAnsi="Arial" w:cs="Arial"/>
          <w:sz w:val="22"/>
          <w:szCs w:val="22"/>
        </w:rPr>
        <w:t>PFM</w:t>
      </w:r>
      <w:r w:rsidRPr="00093C31">
        <w:rPr>
          <w:rFonts w:ascii="Arial" w:hAnsi="Arial" w:cs="Arial"/>
          <w:sz w:val="22"/>
        </w:rPr>
        <w:t xml:space="preserve"> and health financing</w:t>
      </w:r>
      <w:r w:rsidRPr="00093C31">
        <w:rPr>
          <w:rFonts w:ascii="Arial" w:hAnsi="Arial" w:cs="Arial"/>
          <w:sz w:val="22"/>
          <w:szCs w:val="22"/>
        </w:rPr>
        <w:t>. Often</w:t>
      </w:r>
      <w:r w:rsidRPr="00093C31">
        <w:rPr>
          <w:rFonts w:ascii="Arial" w:hAnsi="Arial" w:cs="Arial"/>
          <w:sz w:val="22"/>
        </w:rPr>
        <w:t xml:space="preserve">, improvements in health financing and health budget information </w:t>
      </w:r>
      <w:r w:rsidRPr="00093C31">
        <w:rPr>
          <w:rFonts w:ascii="Arial" w:hAnsi="Arial" w:cs="Arial"/>
          <w:sz w:val="22"/>
          <w:szCs w:val="22"/>
        </w:rPr>
        <w:t>must</w:t>
      </w:r>
      <w:r w:rsidRPr="00093C31">
        <w:rPr>
          <w:rFonts w:ascii="Arial" w:hAnsi="Arial" w:cs="Arial"/>
          <w:sz w:val="22"/>
        </w:rPr>
        <w:t xml:space="preserve"> be coupled with reforms in the public finance system so that budget information is better organized, classified, structured and presented. This </w:t>
      </w:r>
      <w:r w:rsidRPr="00093C31">
        <w:rPr>
          <w:rFonts w:ascii="Arial" w:hAnsi="Arial" w:cs="Arial"/>
          <w:sz w:val="22"/>
          <w:szCs w:val="22"/>
        </w:rPr>
        <w:t>ensures that</w:t>
      </w:r>
      <w:r w:rsidRPr="00093C31">
        <w:rPr>
          <w:rFonts w:ascii="Arial" w:hAnsi="Arial" w:cs="Arial"/>
          <w:sz w:val="22"/>
        </w:rPr>
        <w:t xml:space="preserve"> health spending </w:t>
      </w:r>
      <w:r w:rsidRPr="00093C31">
        <w:rPr>
          <w:rFonts w:ascii="Arial" w:hAnsi="Arial" w:cs="Arial"/>
          <w:sz w:val="22"/>
          <w:szCs w:val="22"/>
        </w:rPr>
        <w:t>is not only</w:t>
      </w:r>
      <w:r w:rsidRPr="00093C31">
        <w:rPr>
          <w:rFonts w:ascii="Arial" w:hAnsi="Arial" w:cs="Arial"/>
          <w:sz w:val="22"/>
        </w:rPr>
        <w:t xml:space="preserve"> more efficient and responsive to health needs and diagnostics but also more accountable. </w:t>
      </w:r>
    </w:p>
    <w:p w14:paraId="29AF76F8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</w:t>
      </w:r>
      <w:r w:rsidRPr="00093C31">
        <w:rPr>
          <w:rFonts w:ascii="Arial" w:hAnsi="Arial" w:cs="Arial"/>
          <w:sz w:val="22"/>
          <w:szCs w:val="22"/>
        </w:rPr>
        <w:t>trend</w:t>
      </w:r>
      <w:r w:rsidRPr="00093C31">
        <w:rPr>
          <w:rFonts w:ascii="Arial" w:hAnsi="Arial" w:cs="Arial"/>
          <w:sz w:val="22"/>
        </w:rPr>
        <w:t xml:space="preserve"> is to a more detailed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tailored approach for</w:t>
      </w:r>
      <w:r w:rsidRPr="00093C31">
        <w:rPr>
          <w:rFonts w:ascii="Arial" w:hAnsi="Arial" w:cs="Arial"/>
          <w:sz w:val="22"/>
          <w:szCs w:val="22"/>
        </w:rPr>
        <w:t xml:space="preserve"> the</w:t>
      </w:r>
      <w:r w:rsidRPr="00093C31">
        <w:rPr>
          <w:rFonts w:ascii="Arial" w:hAnsi="Arial" w:cs="Arial"/>
          <w:sz w:val="22"/>
        </w:rPr>
        <w:t xml:space="preserve"> UHC budget that relies more heavily on programmatic classification. Nonetheless, this transition is not easy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and it is better to move gradually to a complete </w:t>
      </w:r>
      <w:r w:rsidRPr="00093C31">
        <w:rPr>
          <w:rFonts w:ascii="Arial" w:hAnsi="Arial" w:cs="Arial"/>
          <w:sz w:val="22"/>
          <w:szCs w:val="22"/>
        </w:rPr>
        <w:t>programme</w:t>
      </w:r>
      <w:r w:rsidRPr="00093C31">
        <w:rPr>
          <w:rFonts w:ascii="Arial" w:hAnsi="Arial" w:cs="Arial"/>
          <w:sz w:val="22"/>
        </w:rPr>
        <w:t xml:space="preserve">-based budgeting </w:t>
      </w:r>
      <w:r w:rsidRPr="00093C31">
        <w:rPr>
          <w:rFonts w:ascii="Arial" w:hAnsi="Arial" w:cs="Arial"/>
          <w:sz w:val="22"/>
          <w:szCs w:val="22"/>
        </w:rPr>
        <w:t>reform. Fig. 6</w:t>
      </w:r>
      <w:r w:rsidRPr="00093C31">
        <w:rPr>
          <w:rFonts w:ascii="Arial" w:hAnsi="Arial" w:cs="Arial"/>
          <w:sz w:val="22"/>
        </w:rPr>
        <w:t xml:space="preserve"> shows some examples </w:t>
      </w:r>
      <w:r w:rsidRPr="00093C31">
        <w:rPr>
          <w:rFonts w:ascii="Arial" w:hAnsi="Arial" w:cs="Arial"/>
          <w:sz w:val="22"/>
          <w:szCs w:val="22"/>
        </w:rPr>
        <w:t>from</w:t>
      </w:r>
      <w:r w:rsidRPr="00093C31">
        <w:rPr>
          <w:rFonts w:ascii="Arial" w:hAnsi="Arial" w:cs="Arial"/>
          <w:sz w:val="22"/>
        </w:rPr>
        <w:t xml:space="preserve"> countries that are moving in this direction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4B73BE1E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93C31">
        <w:rPr>
          <w:rFonts w:ascii="Arial" w:hAnsi="Arial" w:cs="Arial"/>
          <w:b/>
          <w:sz w:val="22"/>
          <w:szCs w:val="22"/>
        </w:rPr>
        <w:t>Fig. 6. Input- and programme-based budgets: stylized examples for health</w:t>
      </w:r>
    </w:p>
    <w:p w14:paraId="325168D1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82EE8E6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93C31">
        <w:rPr>
          <w:rFonts w:ascii="Arial" w:eastAsia="SimSun" w:hAnsi="Arial" w:cs="Arial"/>
          <w:noProof/>
          <w:sz w:val="22"/>
          <w:szCs w:val="22"/>
          <w:lang w:eastAsia="zh-CN"/>
        </w:rPr>
        <w:drawing>
          <wp:inline distT="0" distB="0" distL="0" distR="0" wp14:anchorId="29C4975F" wp14:editId="75EFCE22">
            <wp:extent cx="5396230" cy="3802380"/>
            <wp:effectExtent l="0" t="0" r="0" b="7620"/>
            <wp:docPr id="691" name="Picture 69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9AAA1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03ABB2" w14:textId="77777777" w:rsidR="00280788" w:rsidRPr="00093C31" w:rsidRDefault="00280788" w:rsidP="00280788">
      <w:pPr>
        <w:jc w:val="both"/>
        <w:rPr>
          <w:rFonts w:ascii="Arial" w:hAnsi="Arial" w:cs="Arial"/>
          <w:sz w:val="18"/>
          <w:szCs w:val="18"/>
        </w:rPr>
      </w:pPr>
      <w:r w:rsidRPr="00093C31">
        <w:rPr>
          <w:rFonts w:ascii="Arial" w:hAnsi="Arial" w:cs="Arial"/>
          <w:sz w:val="18"/>
          <w:szCs w:val="18"/>
        </w:rPr>
        <w:t>Source: reference 62</w:t>
      </w:r>
    </w:p>
    <w:p w14:paraId="19DE90E7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93C31">
        <w:rPr>
          <w:rFonts w:ascii="Arial" w:hAnsi="Arial" w:cs="Arial"/>
          <w:sz w:val="18"/>
          <w:szCs w:val="18"/>
        </w:rPr>
        <w:t>Note: The examples are for national budgeting. Countries do not fall neatly into these categories, as one may be transitioning from one to another.</w:t>
      </w:r>
    </w:p>
    <w:p w14:paraId="0A699B1A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106FFC3B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lastRenderedPageBreak/>
        <w:t>Most</w:t>
      </w:r>
      <w:r w:rsidRPr="00093C31">
        <w:rPr>
          <w:rFonts w:ascii="Arial" w:hAnsi="Arial" w:cs="Arial"/>
          <w:sz w:val="22"/>
        </w:rPr>
        <w:t xml:space="preserve"> countries </w:t>
      </w:r>
      <w:r w:rsidRPr="00093C31">
        <w:rPr>
          <w:rFonts w:ascii="Arial" w:hAnsi="Arial" w:cs="Arial"/>
          <w:sz w:val="22"/>
          <w:szCs w:val="22"/>
        </w:rPr>
        <w:t>use an</w:t>
      </w:r>
      <w:r w:rsidRPr="00093C31">
        <w:rPr>
          <w:rFonts w:ascii="Arial" w:hAnsi="Arial" w:cs="Arial"/>
          <w:sz w:val="22"/>
        </w:rPr>
        <w:t xml:space="preserve"> additional budget classification: “programmatic classification”. </w:t>
      </w:r>
      <w:r w:rsidRPr="00093C31">
        <w:rPr>
          <w:rFonts w:ascii="Arial" w:hAnsi="Arial" w:cs="Arial"/>
          <w:sz w:val="22"/>
          <w:szCs w:val="22"/>
        </w:rPr>
        <w:t>A programme has been</w:t>
      </w:r>
      <w:r w:rsidRPr="00093C31">
        <w:rPr>
          <w:rFonts w:ascii="Arial" w:hAnsi="Arial" w:cs="Arial"/>
          <w:sz w:val="22"/>
        </w:rPr>
        <w:t xml:space="preserve"> defined </w:t>
      </w:r>
      <w:r w:rsidRPr="00093C31">
        <w:rPr>
          <w:rFonts w:ascii="Arial" w:hAnsi="Arial" w:cs="Arial"/>
          <w:i/>
          <w:sz w:val="22"/>
          <w:szCs w:val="22"/>
        </w:rPr>
        <w:t xml:space="preserve">(65) </w:t>
      </w:r>
      <w:r w:rsidRPr="00093C31">
        <w:rPr>
          <w:rFonts w:ascii="Arial" w:hAnsi="Arial" w:cs="Arial"/>
          <w:sz w:val="22"/>
        </w:rPr>
        <w:t>as “a set of activities that meets specific policy objectives of the government (</w:t>
      </w:r>
      <w:proofErr w:type="gramStart"/>
      <w:r w:rsidRPr="00093C31">
        <w:rPr>
          <w:rFonts w:ascii="Arial" w:hAnsi="Arial" w:cs="Arial"/>
          <w:sz w:val="22"/>
        </w:rPr>
        <w:t>e.g</w:t>
      </w:r>
      <w:r w:rsidRPr="00093C31">
        <w:rPr>
          <w:rFonts w:ascii="Arial" w:hAnsi="Arial" w:cs="Arial"/>
          <w:sz w:val="22"/>
          <w:szCs w:val="22"/>
        </w:rPr>
        <w:t>.</w:t>
      </w:r>
      <w:proofErr w:type="gramEnd"/>
      <w:r w:rsidRPr="00093C31">
        <w:rPr>
          <w:rFonts w:ascii="Arial" w:hAnsi="Arial" w:cs="Arial"/>
          <w:sz w:val="22"/>
        </w:rPr>
        <w:t xml:space="preserve"> pre-primary education or the development of crop production</w:t>
      </w:r>
      <w:r w:rsidRPr="00093C31">
        <w:rPr>
          <w:rFonts w:ascii="Arial" w:hAnsi="Arial" w:cs="Arial"/>
          <w:sz w:val="22"/>
          <w:szCs w:val="22"/>
        </w:rPr>
        <w:t xml:space="preserve">)”. </w:t>
      </w:r>
    </w:p>
    <w:p w14:paraId="332C175C" w14:textId="77777777" w:rsidR="00280788" w:rsidRPr="00093C31" w:rsidRDefault="00280788" w:rsidP="00280788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Classification</w:t>
      </w:r>
      <w:r w:rsidRPr="00093C31">
        <w:rPr>
          <w:rFonts w:ascii="Arial" w:hAnsi="Arial" w:cs="Arial"/>
          <w:sz w:val="22"/>
        </w:rPr>
        <w:t xml:space="preserve"> by </w:t>
      </w:r>
      <w:r w:rsidRPr="00093C31">
        <w:rPr>
          <w:rFonts w:ascii="Arial" w:hAnsi="Arial" w:cs="Arial"/>
          <w:sz w:val="22"/>
          <w:szCs w:val="22"/>
        </w:rPr>
        <w:t>programme</w:t>
      </w:r>
      <w:r w:rsidRPr="00093C31">
        <w:rPr>
          <w:rFonts w:ascii="Arial" w:hAnsi="Arial" w:cs="Arial"/>
          <w:sz w:val="22"/>
        </w:rPr>
        <w:t xml:space="preserve"> is different from functional classification, </w:t>
      </w:r>
      <w:r w:rsidRPr="00093C31">
        <w:rPr>
          <w:rFonts w:ascii="Arial" w:hAnsi="Arial" w:cs="Arial"/>
          <w:sz w:val="22"/>
          <w:szCs w:val="22"/>
        </w:rPr>
        <w:t>as</w:t>
      </w:r>
      <w:r w:rsidRPr="00093C31">
        <w:rPr>
          <w:rFonts w:ascii="Arial" w:hAnsi="Arial" w:cs="Arial"/>
          <w:sz w:val="22"/>
        </w:rPr>
        <w:t xml:space="preserve"> it </w:t>
      </w:r>
      <w:r w:rsidRPr="00093C31">
        <w:rPr>
          <w:rFonts w:ascii="Arial" w:hAnsi="Arial" w:cs="Arial"/>
          <w:sz w:val="22"/>
          <w:szCs w:val="22"/>
        </w:rPr>
        <w:t xml:space="preserve">accounts for </w:t>
      </w:r>
      <w:r w:rsidRPr="00093C31">
        <w:rPr>
          <w:rFonts w:ascii="Arial" w:hAnsi="Arial" w:cs="Arial"/>
          <w:sz w:val="22"/>
        </w:rPr>
        <w:t xml:space="preserve">the government’s policy objectives and how </w:t>
      </w:r>
      <w:r w:rsidRPr="00093C31">
        <w:rPr>
          <w:rFonts w:ascii="Arial" w:hAnsi="Arial" w:cs="Arial"/>
          <w:sz w:val="22"/>
          <w:szCs w:val="22"/>
        </w:rPr>
        <w:t>the</w:t>
      </w:r>
      <w:r w:rsidRPr="00093C31">
        <w:rPr>
          <w:rFonts w:ascii="Arial" w:hAnsi="Arial" w:cs="Arial"/>
          <w:sz w:val="22"/>
        </w:rPr>
        <w:t xml:space="preserve"> policies will be implemented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(65)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>Classification of</w:t>
      </w:r>
      <w:r w:rsidRPr="00093C31">
        <w:rPr>
          <w:rFonts w:ascii="Arial" w:hAnsi="Arial" w:cs="Arial"/>
          <w:sz w:val="22"/>
        </w:rPr>
        <w:t xml:space="preserve"> expenditures by </w:t>
      </w:r>
      <w:r w:rsidRPr="00093C31">
        <w:rPr>
          <w:rFonts w:ascii="Arial" w:hAnsi="Arial" w:cs="Arial"/>
          <w:sz w:val="22"/>
          <w:szCs w:val="22"/>
        </w:rPr>
        <w:t>programme</w:t>
      </w:r>
      <w:r w:rsidRPr="00093C31">
        <w:rPr>
          <w:rFonts w:ascii="Arial" w:hAnsi="Arial" w:cs="Arial"/>
          <w:sz w:val="22"/>
        </w:rPr>
        <w:t xml:space="preserve"> can serve two purposes: </w:t>
      </w:r>
    </w:p>
    <w:p w14:paraId="3D88F98A" w14:textId="77777777" w:rsidR="00280788" w:rsidRPr="00093C31" w:rsidRDefault="00280788" w:rsidP="00280788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to identify</w:t>
      </w:r>
      <w:r w:rsidRPr="00093C31">
        <w:rPr>
          <w:rFonts w:ascii="Arial" w:hAnsi="Arial" w:cs="Arial"/>
          <w:sz w:val="22"/>
        </w:rPr>
        <w:t xml:space="preserve"> and </w:t>
      </w:r>
      <w:r w:rsidRPr="00093C31">
        <w:rPr>
          <w:rFonts w:ascii="Arial" w:hAnsi="Arial" w:cs="Arial"/>
          <w:sz w:val="22"/>
          <w:szCs w:val="22"/>
        </w:rPr>
        <w:t>clarify</w:t>
      </w:r>
      <w:r w:rsidRPr="00093C31">
        <w:rPr>
          <w:rFonts w:ascii="Arial" w:hAnsi="Arial" w:cs="Arial"/>
          <w:sz w:val="22"/>
        </w:rPr>
        <w:t xml:space="preserve"> the goals and objectives of government spending and </w:t>
      </w:r>
    </w:p>
    <w:p w14:paraId="4ADA0A29" w14:textId="77777777" w:rsidR="00280788" w:rsidRPr="00093C31" w:rsidRDefault="00280788" w:rsidP="00280788">
      <w:pPr>
        <w:numPr>
          <w:ilvl w:val="0"/>
          <w:numId w:val="31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to monitor</w:t>
      </w:r>
      <w:r w:rsidRPr="00093C31">
        <w:rPr>
          <w:rFonts w:ascii="Arial" w:hAnsi="Arial" w:cs="Arial"/>
          <w:sz w:val="22"/>
        </w:rPr>
        <w:t xml:space="preserve"> operational performance </w:t>
      </w:r>
      <w:r w:rsidRPr="00093C31">
        <w:rPr>
          <w:rFonts w:ascii="Arial" w:hAnsi="Arial" w:cs="Arial"/>
          <w:sz w:val="22"/>
          <w:szCs w:val="22"/>
        </w:rPr>
        <w:t>with</w:t>
      </w:r>
      <w:r w:rsidRPr="00093C31">
        <w:rPr>
          <w:rFonts w:ascii="Arial" w:hAnsi="Arial" w:cs="Arial"/>
          <w:sz w:val="22"/>
        </w:rPr>
        <w:t xml:space="preserve"> performance indicators, which may </w:t>
      </w:r>
      <w:r w:rsidRPr="00093C31">
        <w:rPr>
          <w:rFonts w:ascii="Arial" w:hAnsi="Arial" w:cs="Arial"/>
          <w:sz w:val="22"/>
          <w:szCs w:val="22"/>
        </w:rPr>
        <w:t>be related</w:t>
      </w:r>
      <w:r w:rsidRPr="00093C31">
        <w:rPr>
          <w:rFonts w:ascii="Arial" w:hAnsi="Arial" w:cs="Arial"/>
          <w:sz w:val="22"/>
        </w:rPr>
        <w:t xml:space="preserve"> to the inputs, outputs or outcomes of a particular </w:t>
      </w:r>
      <w:r w:rsidRPr="00093C31">
        <w:rPr>
          <w:rFonts w:ascii="Arial" w:hAnsi="Arial" w:cs="Arial"/>
          <w:sz w:val="22"/>
          <w:szCs w:val="22"/>
        </w:rPr>
        <w:t>programme</w:t>
      </w:r>
      <w:r w:rsidRPr="00093C31">
        <w:rPr>
          <w:rFonts w:ascii="Arial" w:hAnsi="Arial" w:cs="Arial"/>
          <w:sz w:val="22"/>
        </w:rPr>
        <w:t>.</w:t>
      </w:r>
    </w:p>
    <w:p w14:paraId="4684ED17" w14:textId="28A0D435" w:rsidR="00B45B06" w:rsidRPr="009A1B3E" w:rsidRDefault="00B45B06" w:rsidP="00FF41B7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9A1B3E" w:rsidSect="00EC272E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6808" w14:textId="77777777" w:rsidR="00832462" w:rsidRDefault="00832462" w:rsidP="00EC272E">
      <w:r>
        <w:separator/>
      </w:r>
    </w:p>
  </w:endnote>
  <w:endnote w:type="continuationSeparator" w:id="0">
    <w:p w14:paraId="4339764D" w14:textId="77777777" w:rsidR="00832462" w:rsidRDefault="00832462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29478CCF" w:rsidR="00600C8D" w:rsidRPr="00910245" w:rsidRDefault="00811D7C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5002A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B. Introduction to the public budget and its relevance for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81891" w14:textId="77777777" w:rsidR="00832462" w:rsidRDefault="00832462" w:rsidP="00EC272E">
      <w:r>
        <w:separator/>
      </w:r>
    </w:p>
  </w:footnote>
  <w:footnote w:type="continuationSeparator" w:id="0">
    <w:p w14:paraId="3E602DE1" w14:textId="77777777" w:rsidR="00832462" w:rsidRDefault="00832462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62A2"/>
    <w:multiLevelType w:val="hybridMultilevel"/>
    <w:tmpl w:val="63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1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7"/>
  </w:num>
  <w:num w:numId="4">
    <w:abstractNumId w:val="30"/>
  </w:num>
  <w:num w:numId="5">
    <w:abstractNumId w:val="17"/>
  </w:num>
  <w:num w:numId="6">
    <w:abstractNumId w:val="20"/>
  </w:num>
  <w:num w:numId="7">
    <w:abstractNumId w:val="12"/>
  </w:num>
  <w:num w:numId="8">
    <w:abstractNumId w:val="29"/>
  </w:num>
  <w:num w:numId="9">
    <w:abstractNumId w:val="26"/>
  </w:num>
  <w:num w:numId="10">
    <w:abstractNumId w:val="10"/>
  </w:num>
  <w:num w:numId="11">
    <w:abstractNumId w:val="21"/>
  </w:num>
  <w:num w:numId="12">
    <w:abstractNumId w:val="11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22"/>
  </w:num>
  <w:num w:numId="18">
    <w:abstractNumId w:val="15"/>
  </w:num>
  <w:num w:numId="19">
    <w:abstractNumId w:val="3"/>
  </w:num>
  <w:num w:numId="20">
    <w:abstractNumId w:val="1"/>
  </w:num>
  <w:num w:numId="21">
    <w:abstractNumId w:val="9"/>
  </w:num>
  <w:num w:numId="22">
    <w:abstractNumId w:val="24"/>
  </w:num>
  <w:num w:numId="23">
    <w:abstractNumId w:val="7"/>
  </w:num>
  <w:num w:numId="24">
    <w:abstractNumId w:val="13"/>
  </w:num>
  <w:num w:numId="25">
    <w:abstractNumId w:val="4"/>
  </w:num>
  <w:num w:numId="26">
    <w:abstractNumId w:val="28"/>
  </w:num>
  <w:num w:numId="27">
    <w:abstractNumId w:val="6"/>
  </w:num>
  <w:num w:numId="28">
    <w:abstractNumId w:val="18"/>
  </w:num>
  <w:num w:numId="29">
    <w:abstractNumId w:val="23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5E2"/>
    <w:rsid w:val="00042CC5"/>
    <w:rsid w:val="000B1F5F"/>
    <w:rsid w:val="000D5BC0"/>
    <w:rsid w:val="00280788"/>
    <w:rsid w:val="002A0F3F"/>
    <w:rsid w:val="002D2BE4"/>
    <w:rsid w:val="003065AE"/>
    <w:rsid w:val="003268F6"/>
    <w:rsid w:val="003D124A"/>
    <w:rsid w:val="00431272"/>
    <w:rsid w:val="004334AD"/>
    <w:rsid w:val="004A24BB"/>
    <w:rsid w:val="005359DA"/>
    <w:rsid w:val="005C14A4"/>
    <w:rsid w:val="00600C8D"/>
    <w:rsid w:val="00632360"/>
    <w:rsid w:val="007249A2"/>
    <w:rsid w:val="0078164A"/>
    <w:rsid w:val="00784F91"/>
    <w:rsid w:val="007A4CB0"/>
    <w:rsid w:val="007B1413"/>
    <w:rsid w:val="007E23C4"/>
    <w:rsid w:val="00811D7C"/>
    <w:rsid w:val="00832462"/>
    <w:rsid w:val="008603E3"/>
    <w:rsid w:val="00896C8C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DD4A6B"/>
    <w:rsid w:val="00EA42DB"/>
    <w:rsid w:val="00EC272E"/>
    <w:rsid w:val="00EE5FBC"/>
    <w:rsid w:val="00F64B31"/>
    <w:rsid w:val="00F7170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2021-05-17T19:38:00Z</dcterms:created>
  <dcterms:modified xsi:type="dcterms:W3CDTF">2021-05-17T19:38:00Z</dcterms:modified>
</cp:coreProperties>
</file>