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E2D6" w14:textId="4323CF6D" w:rsidR="000E1B0C" w:rsidRPr="00093C31" w:rsidRDefault="000E1B0C" w:rsidP="000E1B0C">
      <w:pPr>
        <w:pStyle w:val="Heading1"/>
        <w:jc w:val="left"/>
      </w:pPr>
      <w:bookmarkStart w:id="0" w:name="_Toc72157330"/>
      <w:r w:rsidRPr="00093C31">
        <w:t>C3. The budget cycle and its stages and stakeholders for UHC</w:t>
      </w:r>
      <w:bookmarkEnd w:id="0"/>
    </w:p>
    <w:p w14:paraId="5F8E6C48" w14:textId="77777777" w:rsidR="000E1B0C" w:rsidRDefault="000E1B0C" w:rsidP="000E1B0C">
      <w:pPr>
        <w:spacing w:after="120"/>
        <w:jc w:val="both"/>
        <w:rPr>
          <w:rFonts w:ascii="Arial" w:hAnsi="Arial" w:cs="Arial"/>
          <w:sz w:val="22"/>
          <w:szCs w:val="22"/>
        </w:rPr>
      </w:pPr>
    </w:p>
    <w:p w14:paraId="1712DE3F" w14:textId="4FD95493" w:rsidR="000E1B0C" w:rsidRPr="00093C31" w:rsidRDefault="000E1B0C" w:rsidP="000E1B0C">
      <w:pPr>
        <w:spacing w:after="120"/>
        <w:jc w:val="both"/>
        <w:rPr>
          <w:rFonts w:ascii="Arial" w:hAnsi="Arial" w:cs="Arial"/>
          <w:sz w:val="22"/>
        </w:rPr>
      </w:pPr>
      <w:r w:rsidRPr="00093C31">
        <w:rPr>
          <w:rFonts w:ascii="Arial" w:hAnsi="Arial" w:cs="Arial"/>
          <w:sz w:val="22"/>
          <w:szCs w:val="22"/>
        </w:rPr>
        <w:t>Key</w:t>
      </w:r>
      <w:r w:rsidRPr="00093C31">
        <w:rPr>
          <w:rFonts w:ascii="Arial" w:hAnsi="Arial" w:cs="Arial"/>
          <w:sz w:val="22"/>
        </w:rPr>
        <w:t xml:space="preserve"> stakeholders in several </w:t>
      </w:r>
      <w:r w:rsidRPr="00093C31">
        <w:rPr>
          <w:rFonts w:ascii="Arial" w:hAnsi="Arial" w:cs="Arial"/>
          <w:sz w:val="22"/>
          <w:szCs w:val="22"/>
        </w:rPr>
        <w:t>stages</w:t>
      </w:r>
      <w:r w:rsidRPr="00093C31">
        <w:rPr>
          <w:rFonts w:ascii="Arial" w:hAnsi="Arial" w:cs="Arial"/>
          <w:sz w:val="22"/>
        </w:rPr>
        <w:t xml:space="preserve"> of the budget cycle are line ministries such as the </w:t>
      </w:r>
      <w:r w:rsidRPr="00093C31">
        <w:rPr>
          <w:rFonts w:ascii="Arial" w:hAnsi="Arial" w:cs="Arial"/>
          <w:sz w:val="22"/>
          <w:szCs w:val="22"/>
        </w:rPr>
        <w:t xml:space="preserve">ministry of health. To </w:t>
      </w:r>
      <w:r w:rsidRPr="00093C31">
        <w:rPr>
          <w:rFonts w:ascii="Arial" w:hAnsi="Arial" w:cs="Arial"/>
          <w:sz w:val="22"/>
        </w:rPr>
        <w:t>effectively influence UHC</w:t>
      </w:r>
      <w:r w:rsidRPr="00093C31">
        <w:rPr>
          <w:rFonts w:ascii="Arial" w:hAnsi="Arial" w:cs="Arial"/>
          <w:sz w:val="22"/>
          <w:szCs w:val="22"/>
        </w:rPr>
        <w:t>-</w:t>
      </w:r>
      <w:r w:rsidRPr="00093C31">
        <w:rPr>
          <w:rFonts w:ascii="Arial" w:hAnsi="Arial" w:cs="Arial"/>
          <w:sz w:val="22"/>
        </w:rPr>
        <w:t xml:space="preserve">oriented budget decisions at different </w:t>
      </w:r>
      <w:r w:rsidRPr="00093C31">
        <w:rPr>
          <w:rFonts w:ascii="Arial" w:hAnsi="Arial" w:cs="Arial"/>
          <w:sz w:val="22"/>
          <w:szCs w:val="22"/>
        </w:rPr>
        <w:t>times in</w:t>
      </w:r>
      <w:r w:rsidRPr="00093C31">
        <w:rPr>
          <w:rFonts w:ascii="Arial" w:hAnsi="Arial" w:cs="Arial"/>
          <w:sz w:val="22"/>
        </w:rPr>
        <w:t xml:space="preserve"> the budget process, it is important to understand when and how the </w:t>
      </w:r>
      <w:r w:rsidRPr="00093C31">
        <w:rPr>
          <w:rFonts w:ascii="Arial" w:hAnsi="Arial" w:cs="Arial"/>
          <w:sz w:val="22"/>
          <w:szCs w:val="22"/>
        </w:rPr>
        <w:t>ministry of health</w:t>
      </w:r>
      <w:r w:rsidRPr="00093C31">
        <w:rPr>
          <w:rFonts w:ascii="Arial" w:hAnsi="Arial" w:cs="Arial"/>
          <w:sz w:val="22"/>
        </w:rPr>
        <w:t xml:space="preserve"> intervenes. Chapter 8 in </w:t>
      </w:r>
      <w:r w:rsidRPr="00093C31">
        <w:rPr>
          <w:rFonts w:ascii="Arial" w:hAnsi="Arial" w:cs="Arial"/>
          <w:sz w:val="22"/>
          <w:szCs w:val="22"/>
        </w:rPr>
        <w:t>the WHO handbook</w:t>
      </w:r>
      <w:r w:rsidRPr="00093C31">
        <w:rPr>
          <w:rFonts w:ascii="Arial" w:hAnsi="Arial" w:cs="Arial"/>
          <w:sz w:val="22"/>
        </w:rPr>
        <w:t xml:space="preserve"> Strategizing national health in the 21st century </w:t>
      </w:r>
      <w:r w:rsidRPr="00093C31">
        <w:rPr>
          <w:rFonts w:ascii="Arial" w:hAnsi="Arial" w:cs="Arial"/>
          <w:i/>
          <w:sz w:val="22"/>
          <w:szCs w:val="22"/>
        </w:rPr>
        <w:t>(34)</w:t>
      </w:r>
      <w:r w:rsidRPr="00093C31">
        <w:rPr>
          <w:rFonts w:ascii="Arial" w:hAnsi="Arial" w:cs="Arial"/>
          <w:sz w:val="22"/>
        </w:rPr>
        <w:t xml:space="preserve"> provides an overview of the </w:t>
      </w:r>
      <w:r w:rsidRPr="00093C31">
        <w:rPr>
          <w:rFonts w:ascii="Arial" w:hAnsi="Arial" w:cs="Arial"/>
          <w:sz w:val="22"/>
          <w:szCs w:val="22"/>
        </w:rPr>
        <w:t>budget</w:t>
      </w:r>
      <w:r w:rsidRPr="00093C31">
        <w:rPr>
          <w:rFonts w:ascii="Arial" w:hAnsi="Arial" w:cs="Arial"/>
          <w:sz w:val="22"/>
        </w:rPr>
        <w:t xml:space="preserve"> process and the key roles of </w:t>
      </w:r>
      <w:r w:rsidRPr="00093C31">
        <w:rPr>
          <w:rFonts w:ascii="Arial" w:hAnsi="Arial" w:cs="Arial"/>
          <w:sz w:val="22"/>
          <w:szCs w:val="22"/>
        </w:rPr>
        <w:t xml:space="preserve">the ministry of health. The handbook identifies </w:t>
      </w:r>
      <w:r w:rsidRPr="00093C31">
        <w:rPr>
          <w:rFonts w:ascii="Arial" w:hAnsi="Arial" w:cs="Arial"/>
          <w:sz w:val="22"/>
        </w:rPr>
        <w:t xml:space="preserve">two </w:t>
      </w:r>
      <w:r w:rsidRPr="00093C31">
        <w:rPr>
          <w:rFonts w:ascii="Arial" w:hAnsi="Arial" w:cs="Arial"/>
          <w:sz w:val="22"/>
          <w:szCs w:val="22"/>
        </w:rPr>
        <w:t>stages</w:t>
      </w:r>
      <w:r w:rsidRPr="00093C31">
        <w:rPr>
          <w:rFonts w:ascii="Arial" w:hAnsi="Arial" w:cs="Arial"/>
          <w:sz w:val="22"/>
        </w:rPr>
        <w:t xml:space="preserve"> of the </w:t>
      </w:r>
      <w:r w:rsidRPr="00093C31">
        <w:rPr>
          <w:rFonts w:ascii="Arial" w:hAnsi="Arial" w:cs="Arial"/>
          <w:sz w:val="22"/>
          <w:szCs w:val="22"/>
        </w:rPr>
        <w:t>budget cycle at which</w:t>
      </w:r>
      <w:r w:rsidRPr="00093C31">
        <w:rPr>
          <w:rFonts w:ascii="Arial" w:hAnsi="Arial" w:cs="Arial"/>
          <w:sz w:val="22"/>
        </w:rPr>
        <w:t xml:space="preserve"> the </w:t>
      </w:r>
      <w:r w:rsidRPr="00093C31">
        <w:rPr>
          <w:rFonts w:ascii="Arial" w:hAnsi="Arial" w:cs="Arial"/>
          <w:sz w:val="22"/>
          <w:szCs w:val="22"/>
        </w:rPr>
        <w:t>ministry of health</w:t>
      </w:r>
      <w:r w:rsidRPr="00093C31">
        <w:rPr>
          <w:rFonts w:ascii="Arial" w:hAnsi="Arial" w:cs="Arial"/>
          <w:sz w:val="22"/>
        </w:rPr>
        <w:t xml:space="preserve"> intervenes </w:t>
      </w:r>
      <w:r w:rsidRPr="00093C31">
        <w:rPr>
          <w:rFonts w:ascii="Arial" w:hAnsi="Arial" w:cs="Arial"/>
          <w:sz w:val="22"/>
          <w:szCs w:val="22"/>
        </w:rPr>
        <w:t xml:space="preserve">– formulation </w:t>
      </w:r>
      <w:r w:rsidRPr="00093C31">
        <w:rPr>
          <w:rFonts w:ascii="Arial" w:hAnsi="Arial" w:cs="Arial"/>
          <w:sz w:val="22"/>
        </w:rPr>
        <w:t xml:space="preserve">and </w:t>
      </w:r>
      <w:r w:rsidRPr="00093C31">
        <w:rPr>
          <w:rFonts w:ascii="Arial" w:hAnsi="Arial" w:cs="Arial"/>
          <w:sz w:val="22"/>
          <w:szCs w:val="22"/>
        </w:rPr>
        <w:t xml:space="preserve">execution – and the </w:t>
      </w:r>
      <w:r w:rsidRPr="00093C31">
        <w:rPr>
          <w:rFonts w:ascii="Arial" w:hAnsi="Arial" w:cs="Arial"/>
          <w:sz w:val="22"/>
        </w:rPr>
        <w:t>purposes</w:t>
      </w:r>
      <w:r w:rsidRPr="00093C31">
        <w:rPr>
          <w:rFonts w:ascii="Arial" w:hAnsi="Arial" w:cs="Arial"/>
          <w:sz w:val="22"/>
          <w:szCs w:val="22"/>
        </w:rPr>
        <w:t>. During formulation,</w:t>
      </w:r>
      <w:r w:rsidRPr="00093C31">
        <w:rPr>
          <w:rFonts w:ascii="Arial" w:hAnsi="Arial" w:cs="Arial"/>
          <w:sz w:val="22"/>
        </w:rPr>
        <w:t xml:space="preserve"> the </w:t>
      </w:r>
      <w:r w:rsidRPr="00093C31">
        <w:rPr>
          <w:rFonts w:ascii="Arial" w:hAnsi="Arial" w:cs="Arial"/>
          <w:sz w:val="22"/>
          <w:szCs w:val="22"/>
        </w:rPr>
        <w:t>ministry of health</w:t>
      </w:r>
      <w:r w:rsidRPr="00093C31">
        <w:rPr>
          <w:rFonts w:ascii="Arial" w:hAnsi="Arial" w:cs="Arial"/>
          <w:sz w:val="22"/>
        </w:rPr>
        <w:t xml:space="preserve"> can advocate for UHC budget priorities</w:t>
      </w:r>
      <w:r w:rsidRPr="00093C31">
        <w:rPr>
          <w:rFonts w:ascii="Arial" w:hAnsi="Arial" w:cs="Arial"/>
          <w:sz w:val="22"/>
          <w:szCs w:val="22"/>
        </w:rPr>
        <w:t xml:space="preserve"> by</w:t>
      </w:r>
    </w:p>
    <w:p w14:paraId="49E4DAB2" w14:textId="77777777" w:rsidR="000E1B0C" w:rsidRPr="00093C31" w:rsidRDefault="000E1B0C" w:rsidP="000E1B0C">
      <w:pPr>
        <w:spacing w:after="120"/>
        <w:ind w:left="709" w:right="616"/>
        <w:jc w:val="both"/>
        <w:rPr>
          <w:rFonts w:ascii="Arial" w:hAnsi="Arial" w:cs="Arial"/>
          <w:sz w:val="22"/>
          <w:szCs w:val="22"/>
        </w:rPr>
      </w:pPr>
      <w:r w:rsidRPr="00093C31">
        <w:rPr>
          <w:rFonts w:ascii="Arial" w:hAnsi="Arial" w:cs="Arial"/>
          <w:sz w:val="22"/>
          <w:szCs w:val="22"/>
        </w:rPr>
        <w:t>Analysis of expenditure forecasts against expected revenues … aiming to estimate the potential for increased health spending…. Drafting of credible, well-defined health budget proposals; systematizing costing and priority-setting exercises within the defined envelope…. Engaging in budget negotiations and advocating for sound health budget allocations.</w:t>
      </w:r>
    </w:p>
    <w:p w14:paraId="6BA6C743" w14:textId="77777777" w:rsidR="000E1B0C" w:rsidRPr="00093C31" w:rsidRDefault="000E1B0C" w:rsidP="000E1B0C">
      <w:pPr>
        <w:spacing w:after="120"/>
        <w:jc w:val="both"/>
        <w:rPr>
          <w:rFonts w:ascii="Arial" w:hAnsi="Arial" w:cs="Arial"/>
          <w:sz w:val="22"/>
          <w:szCs w:val="22"/>
        </w:rPr>
      </w:pPr>
      <w:r w:rsidRPr="00093C31">
        <w:rPr>
          <w:rFonts w:ascii="Arial" w:hAnsi="Arial" w:cs="Arial"/>
          <w:sz w:val="22"/>
          <w:szCs w:val="22"/>
        </w:rPr>
        <w:t xml:space="preserve">The ministry of health must engage in many negotiations with the ministry of finance in order to arrive at a health budget proposal. The ministry of health must base its requests on the budget ceiling established by the ministry of finance, the health policies established by the government and a situational analysis of priorities. </w:t>
      </w:r>
    </w:p>
    <w:p w14:paraId="7837450E" w14:textId="77777777" w:rsidR="000E1B0C" w:rsidRPr="00093C31" w:rsidRDefault="000E1B0C" w:rsidP="000E1B0C">
      <w:pPr>
        <w:spacing w:after="120"/>
        <w:jc w:val="both"/>
        <w:rPr>
          <w:rFonts w:ascii="Arial" w:hAnsi="Arial" w:cs="Arial"/>
          <w:sz w:val="22"/>
          <w:szCs w:val="22"/>
        </w:rPr>
      </w:pPr>
      <w:r w:rsidRPr="00093C31">
        <w:rPr>
          <w:rFonts w:ascii="Arial" w:hAnsi="Arial" w:cs="Arial"/>
          <w:sz w:val="22"/>
          <w:szCs w:val="22"/>
        </w:rPr>
        <w:t xml:space="preserve">During execution, the policies established in the national health plans and their budgets are implemented. The role of the ministry of health at this stage of the cycle is implementation of the health budget. Its roles include supervision, support and oversight. For WHO, this stage is pivotal and one in which strengthening of ministries of health is crucial, as those in charge of these tasks “require understanding of Public Finance Management systems and, in particular public expenditure rules and regulations” </w:t>
      </w:r>
      <w:r w:rsidRPr="00093C31">
        <w:rPr>
          <w:rFonts w:ascii="Arial" w:hAnsi="Arial" w:cs="Arial"/>
          <w:i/>
          <w:sz w:val="22"/>
          <w:szCs w:val="22"/>
        </w:rPr>
        <w:t>(34)</w:t>
      </w:r>
      <w:r w:rsidRPr="00093C31">
        <w:rPr>
          <w:rFonts w:ascii="Arial" w:hAnsi="Arial" w:cs="Arial"/>
          <w:sz w:val="22"/>
          <w:szCs w:val="22"/>
        </w:rPr>
        <w:t xml:space="preserve">. </w:t>
      </w:r>
    </w:p>
    <w:p w14:paraId="7B6123B1" w14:textId="77777777" w:rsidR="000E1B0C" w:rsidRPr="00093C31" w:rsidRDefault="000E1B0C" w:rsidP="000E1B0C">
      <w:pPr>
        <w:spacing w:after="120"/>
        <w:jc w:val="both"/>
        <w:rPr>
          <w:rFonts w:ascii="Arial" w:hAnsi="Arial" w:cs="Arial"/>
          <w:b/>
          <w:sz w:val="22"/>
          <w:szCs w:val="22"/>
        </w:rPr>
      </w:pPr>
    </w:p>
    <w:p w14:paraId="4684ED17" w14:textId="6C8117FE" w:rsidR="00B45B06" w:rsidRPr="00333C47" w:rsidRDefault="00B45B06" w:rsidP="00523E62">
      <w:pPr>
        <w:spacing w:after="120"/>
        <w:jc w:val="both"/>
        <w:rPr>
          <w:rFonts w:ascii="Arial" w:hAnsi="Arial" w:cs="Arial"/>
          <w:sz w:val="22"/>
        </w:rPr>
      </w:pPr>
    </w:p>
    <w:sectPr w:rsidR="00B45B06" w:rsidRPr="00333C47" w:rsidSect="00EC272E">
      <w:headerReference w:type="default"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8495" w14:textId="77777777" w:rsidR="007F691D" w:rsidRDefault="007F691D" w:rsidP="00EC272E">
      <w:r>
        <w:separator/>
      </w:r>
    </w:p>
  </w:endnote>
  <w:endnote w:type="continuationSeparator" w:id="0">
    <w:p w14:paraId="5A4018D6" w14:textId="77777777" w:rsidR="007F691D" w:rsidRDefault="007F691D"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061411D9" w14:textId="20C0643F" w:rsidR="00600C8D" w:rsidRPr="00910245" w:rsidRDefault="00DB2A7E" w:rsidP="00600C8D">
          <w:pPr>
            <w:pStyle w:val="Footer"/>
            <w:rPr>
              <w:rFonts w:ascii="Arial" w:hAnsi="Arial" w:cs="Arial"/>
              <w:b/>
              <w:bCs/>
              <w:color w:val="3CA5DD"/>
            </w:rPr>
          </w:pPr>
          <w:r w:rsidRPr="00B26630">
            <w:rPr>
              <w:rFonts w:ascii="Arial" w:hAnsi="Arial" w:cs="Arial"/>
              <w:b/>
              <w:bCs/>
              <w:color w:val="3CA5DD"/>
              <w:sz w:val="18"/>
              <w:szCs w:val="18"/>
            </w:rPr>
            <w:t xml:space="preserve">Module 2. Introduction to public financing for health relevant for budget advocacy for universal health coverage </w:t>
          </w: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366F1139" w:rsidR="00600C8D" w:rsidRPr="00910245" w:rsidRDefault="00742DA9" w:rsidP="00D34792">
          <w:pPr>
            <w:rPr>
              <w:rFonts w:ascii="Arial" w:eastAsia="MS Gothic" w:hAnsi="Arial" w:cs="Arial"/>
              <w:b/>
              <w:color w:val="008080"/>
              <w:sz w:val="18"/>
              <w:szCs w:val="18"/>
            </w:rPr>
          </w:pPr>
          <w:r w:rsidRPr="005002AE">
            <w:rPr>
              <w:rFonts w:ascii="Arial" w:hAnsi="Arial" w:cs="Arial"/>
              <w:b/>
              <w:bCs/>
              <w:color w:val="000000" w:themeColor="text1"/>
              <w:sz w:val="18"/>
              <w:szCs w:val="18"/>
            </w:rPr>
            <w:t>Section C. Introduction to the budget cycle and links with planning universal health coverage</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6C01" w14:textId="77777777" w:rsidR="007F691D" w:rsidRDefault="007F691D" w:rsidP="00EC272E">
      <w:r>
        <w:separator/>
      </w:r>
    </w:p>
  </w:footnote>
  <w:footnote w:type="continuationSeparator" w:id="0">
    <w:p w14:paraId="018100F0" w14:textId="77777777" w:rsidR="007F691D" w:rsidRDefault="007F691D" w:rsidP="00EC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CF962A2"/>
    <w:multiLevelType w:val="hybridMultilevel"/>
    <w:tmpl w:val="63B44CC8"/>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262B92"/>
    <w:multiLevelType w:val="hybridMultilevel"/>
    <w:tmpl w:val="7CF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614033"/>
    <w:multiLevelType w:val="hybridMultilevel"/>
    <w:tmpl w:val="2D382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63C6"/>
    <w:multiLevelType w:val="hybridMultilevel"/>
    <w:tmpl w:val="C982157C"/>
    <w:lvl w:ilvl="0" w:tplc="B84CF06E">
      <w:start w:val="1"/>
      <w:numFmt w:val="bullet"/>
      <w:lvlText w:val="•"/>
      <w:lvlJc w:val="left"/>
      <w:pPr>
        <w:tabs>
          <w:tab w:val="num" w:pos="720"/>
        </w:tabs>
        <w:ind w:left="720" w:hanging="360"/>
      </w:pPr>
      <w:rPr>
        <w:rFonts w:ascii="Arial" w:hAnsi="Arial" w:hint="default"/>
      </w:rPr>
    </w:lvl>
    <w:lvl w:ilvl="1" w:tplc="2DB259DE" w:tentative="1">
      <w:start w:val="1"/>
      <w:numFmt w:val="bullet"/>
      <w:lvlText w:val="•"/>
      <w:lvlJc w:val="left"/>
      <w:pPr>
        <w:tabs>
          <w:tab w:val="num" w:pos="1440"/>
        </w:tabs>
        <w:ind w:left="1440" w:hanging="360"/>
      </w:pPr>
      <w:rPr>
        <w:rFonts w:ascii="Arial" w:hAnsi="Arial" w:hint="default"/>
      </w:rPr>
    </w:lvl>
    <w:lvl w:ilvl="2" w:tplc="0F1042FA" w:tentative="1">
      <w:start w:val="1"/>
      <w:numFmt w:val="bullet"/>
      <w:lvlText w:val="•"/>
      <w:lvlJc w:val="left"/>
      <w:pPr>
        <w:tabs>
          <w:tab w:val="num" w:pos="2160"/>
        </w:tabs>
        <w:ind w:left="2160" w:hanging="360"/>
      </w:pPr>
      <w:rPr>
        <w:rFonts w:ascii="Arial" w:hAnsi="Arial" w:hint="default"/>
      </w:rPr>
    </w:lvl>
    <w:lvl w:ilvl="3" w:tplc="C1D0EFD2" w:tentative="1">
      <w:start w:val="1"/>
      <w:numFmt w:val="bullet"/>
      <w:lvlText w:val="•"/>
      <w:lvlJc w:val="left"/>
      <w:pPr>
        <w:tabs>
          <w:tab w:val="num" w:pos="2880"/>
        </w:tabs>
        <w:ind w:left="2880" w:hanging="360"/>
      </w:pPr>
      <w:rPr>
        <w:rFonts w:ascii="Arial" w:hAnsi="Arial" w:hint="default"/>
      </w:rPr>
    </w:lvl>
    <w:lvl w:ilvl="4" w:tplc="E66088C8" w:tentative="1">
      <w:start w:val="1"/>
      <w:numFmt w:val="bullet"/>
      <w:lvlText w:val="•"/>
      <w:lvlJc w:val="left"/>
      <w:pPr>
        <w:tabs>
          <w:tab w:val="num" w:pos="3600"/>
        </w:tabs>
        <w:ind w:left="3600" w:hanging="360"/>
      </w:pPr>
      <w:rPr>
        <w:rFonts w:ascii="Arial" w:hAnsi="Arial" w:hint="default"/>
      </w:rPr>
    </w:lvl>
    <w:lvl w:ilvl="5" w:tplc="E90276A6" w:tentative="1">
      <w:start w:val="1"/>
      <w:numFmt w:val="bullet"/>
      <w:lvlText w:val="•"/>
      <w:lvlJc w:val="left"/>
      <w:pPr>
        <w:tabs>
          <w:tab w:val="num" w:pos="4320"/>
        </w:tabs>
        <w:ind w:left="4320" w:hanging="360"/>
      </w:pPr>
      <w:rPr>
        <w:rFonts w:ascii="Arial" w:hAnsi="Arial" w:hint="default"/>
      </w:rPr>
    </w:lvl>
    <w:lvl w:ilvl="6" w:tplc="45CE4010" w:tentative="1">
      <w:start w:val="1"/>
      <w:numFmt w:val="bullet"/>
      <w:lvlText w:val="•"/>
      <w:lvlJc w:val="left"/>
      <w:pPr>
        <w:tabs>
          <w:tab w:val="num" w:pos="5040"/>
        </w:tabs>
        <w:ind w:left="5040" w:hanging="360"/>
      </w:pPr>
      <w:rPr>
        <w:rFonts w:ascii="Arial" w:hAnsi="Arial" w:hint="default"/>
      </w:rPr>
    </w:lvl>
    <w:lvl w:ilvl="7" w:tplc="1F6AA7A2" w:tentative="1">
      <w:start w:val="1"/>
      <w:numFmt w:val="bullet"/>
      <w:lvlText w:val="•"/>
      <w:lvlJc w:val="left"/>
      <w:pPr>
        <w:tabs>
          <w:tab w:val="num" w:pos="5760"/>
        </w:tabs>
        <w:ind w:left="5760" w:hanging="360"/>
      </w:pPr>
      <w:rPr>
        <w:rFonts w:ascii="Arial" w:hAnsi="Arial" w:hint="default"/>
      </w:rPr>
    </w:lvl>
    <w:lvl w:ilvl="8" w:tplc="78BE6E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B20CFD"/>
    <w:multiLevelType w:val="hybridMultilevel"/>
    <w:tmpl w:val="CBD661BE"/>
    <w:lvl w:ilvl="0" w:tplc="E8A22D8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EE456B"/>
    <w:multiLevelType w:val="hybridMultilevel"/>
    <w:tmpl w:val="D76AB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D35E7"/>
    <w:multiLevelType w:val="hybridMultilevel"/>
    <w:tmpl w:val="FDBE0D7A"/>
    <w:lvl w:ilvl="0" w:tplc="8BF4700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862C1B"/>
    <w:multiLevelType w:val="hybridMultilevel"/>
    <w:tmpl w:val="AAC4A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F5E50"/>
    <w:multiLevelType w:val="hybridMultilevel"/>
    <w:tmpl w:val="65C6E828"/>
    <w:lvl w:ilvl="0" w:tplc="E8A22D8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71758B"/>
    <w:multiLevelType w:val="hybridMultilevel"/>
    <w:tmpl w:val="73F615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3"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0685F"/>
    <w:multiLevelType w:val="multilevel"/>
    <w:tmpl w:val="4A6A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F79DD"/>
    <w:multiLevelType w:val="hybridMultilevel"/>
    <w:tmpl w:val="E31421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6" w15:restartNumberingAfterBreak="0">
    <w:nsid w:val="57227DE8"/>
    <w:multiLevelType w:val="hybridMultilevel"/>
    <w:tmpl w:val="E22077E0"/>
    <w:lvl w:ilvl="0" w:tplc="E8A22D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60B4BB2"/>
    <w:multiLevelType w:val="hybridMultilevel"/>
    <w:tmpl w:val="588A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9"/>
  </w:num>
  <w:num w:numId="4">
    <w:abstractNumId w:val="32"/>
  </w:num>
  <w:num w:numId="5">
    <w:abstractNumId w:val="18"/>
  </w:num>
  <w:num w:numId="6">
    <w:abstractNumId w:val="22"/>
  </w:num>
  <w:num w:numId="7">
    <w:abstractNumId w:val="13"/>
  </w:num>
  <w:num w:numId="8">
    <w:abstractNumId w:val="31"/>
  </w:num>
  <w:num w:numId="9">
    <w:abstractNumId w:val="28"/>
  </w:num>
  <w:num w:numId="10">
    <w:abstractNumId w:val="11"/>
  </w:num>
  <w:num w:numId="11">
    <w:abstractNumId w:val="23"/>
  </w:num>
  <w:num w:numId="12">
    <w:abstractNumId w:val="12"/>
  </w:num>
  <w:num w:numId="13">
    <w:abstractNumId w:val="15"/>
  </w:num>
  <w:num w:numId="14">
    <w:abstractNumId w:val="5"/>
  </w:num>
  <w:num w:numId="15">
    <w:abstractNumId w:val="17"/>
  </w:num>
  <w:num w:numId="16">
    <w:abstractNumId w:val="0"/>
  </w:num>
  <w:num w:numId="17">
    <w:abstractNumId w:val="24"/>
  </w:num>
  <w:num w:numId="18">
    <w:abstractNumId w:val="16"/>
  </w:num>
  <w:num w:numId="19">
    <w:abstractNumId w:val="3"/>
  </w:num>
  <w:num w:numId="20">
    <w:abstractNumId w:val="1"/>
  </w:num>
  <w:num w:numId="21">
    <w:abstractNumId w:val="10"/>
  </w:num>
  <w:num w:numId="22">
    <w:abstractNumId w:val="26"/>
  </w:num>
  <w:num w:numId="23">
    <w:abstractNumId w:val="7"/>
  </w:num>
  <w:num w:numId="24">
    <w:abstractNumId w:val="14"/>
  </w:num>
  <w:num w:numId="25">
    <w:abstractNumId w:val="4"/>
  </w:num>
  <w:num w:numId="26">
    <w:abstractNumId w:val="30"/>
  </w:num>
  <w:num w:numId="27">
    <w:abstractNumId w:val="6"/>
  </w:num>
  <w:num w:numId="28">
    <w:abstractNumId w:val="19"/>
  </w:num>
  <w:num w:numId="29">
    <w:abstractNumId w:val="25"/>
  </w:num>
  <w:num w:numId="30">
    <w:abstractNumId w:val="21"/>
  </w:num>
  <w:num w:numId="31">
    <w:abstractNumId w:val="2"/>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5E2"/>
    <w:rsid w:val="00042CC5"/>
    <w:rsid w:val="000B1F5F"/>
    <w:rsid w:val="000D2016"/>
    <w:rsid w:val="000D5BC0"/>
    <w:rsid w:val="000E1B0C"/>
    <w:rsid w:val="00105E9A"/>
    <w:rsid w:val="00156EC3"/>
    <w:rsid w:val="00280788"/>
    <w:rsid w:val="002A0F3F"/>
    <w:rsid w:val="002D2BE4"/>
    <w:rsid w:val="003065AE"/>
    <w:rsid w:val="003268F6"/>
    <w:rsid w:val="00332F53"/>
    <w:rsid w:val="00333C47"/>
    <w:rsid w:val="003D124A"/>
    <w:rsid w:val="00431272"/>
    <w:rsid w:val="004334AD"/>
    <w:rsid w:val="00454E95"/>
    <w:rsid w:val="004A24BB"/>
    <w:rsid w:val="00523E62"/>
    <w:rsid w:val="005359DA"/>
    <w:rsid w:val="005C14A4"/>
    <w:rsid w:val="00600C8D"/>
    <w:rsid w:val="00632360"/>
    <w:rsid w:val="007249A2"/>
    <w:rsid w:val="00742DA9"/>
    <w:rsid w:val="0078164A"/>
    <w:rsid w:val="00784F91"/>
    <w:rsid w:val="007A4CB0"/>
    <w:rsid w:val="007B1413"/>
    <w:rsid w:val="007E23C4"/>
    <w:rsid w:val="007F691D"/>
    <w:rsid w:val="00811D7C"/>
    <w:rsid w:val="008603E3"/>
    <w:rsid w:val="00896C8C"/>
    <w:rsid w:val="00953035"/>
    <w:rsid w:val="009A1B3E"/>
    <w:rsid w:val="00A0194E"/>
    <w:rsid w:val="00A431D5"/>
    <w:rsid w:val="00B45B06"/>
    <w:rsid w:val="00D1217B"/>
    <w:rsid w:val="00D34792"/>
    <w:rsid w:val="00DB2A7E"/>
    <w:rsid w:val="00DC29BE"/>
    <w:rsid w:val="00DD4A6B"/>
    <w:rsid w:val="00EA42DB"/>
    <w:rsid w:val="00EC272E"/>
    <w:rsid w:val="00EE5FBC"/>
    <w:rsid w:val="00F64B31"/>
    <w:rsid w:val="00F7170F"/>
    <w:rsid w:val="00FF41B7"/>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 w:type="paragraph" w:styleId="ListParagraph">
    <w:name w:val="List Paragraph"/>
    <w:basedOn w:val="Normal"/>
    <w:uiPriority w:val="34"/>
    <w:qFormat/>
    <w:rsid w:val="007249A2"/>
    <w:pPr>
      <w:ind w:left="720"/>
    </w:pPr>
    <w:rPr>
      <w:rFonts w:ascii="Times New Roman" w:eastAsia="MS Mincho" w:hAnsi="Times New Roman" w:cs="Times New Roman"/>
      <w:lang w:val="en-GB"/>
    </w:rPr>
  </w:style>
  <w:style w:type="paragraph" w:styleId="CommentText">
    <w:name w:val="annotation text"/>
    <w:basedOn w:val="Normal"/>
    <w:link w:val="CommentTextChar"/>
    <w:uiPriority w:val="99"/>
    <w:unhideWhenUsed/>
    <w:rsid w:val="004A24BB"/>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4A24BB"/>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2021-05-17T19:42:00Z</dcterms:created>
  <dcterms:modified xsi:type="dcterms:W3CDTF">2021-05-17T19:42:00Z</dcterms:modified>
</cp:coreProperties>
</file>