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BE05B" w14:textId="5044E382" w:rsidR="004F4279" w:rsidRPr="00093C31" w:rsidRDefault="004F4279" w:rsidP="004F4279">
      <w:pPr>
        <w:pStyle w:val="Heading1"/>
        <w:jc w:val="left"/>
      </w:pPr>
      <w:bookmarkStart w:id="0" w:name="_Toc72157331"/>
      <w:r w:rsidRPr="00093C31">
        <w:t>Tool: Handbook on strategizing health in the 21st century to identify the role of the ministry of health in the budget cycle</w:t>
      </w:r>
      <w:bookmarkEnd w:id="0"/>
      <w:r w:rsidRPr="00093C31">
        <w:t xml:space="preserve"> </w:t>
      </w:r>
    </w:p>
    <w:p w14:paraId="00953FCD" w14:textId="77777777" w:rsidR="004F4279" w:rsidRDefault="004F4279" w:rsidP="004F4279">
      <w:pPr>
        <w:spacing w:after="120"/>
        <w:jc w:val="both"/>
      </w:pPr>
    </w:p>
    <w:p w14:paraId="64555B79" w14:textId="5D8F0BFD" w:rsidR="00645329" w:rsidRDefault="00400A78" w:rsidP="00645329">
      <w:pPr>
        <w:spacing w:after="120"/>
        <w:jc w:val="both"/>
        <w:rPr>
          <w:rFonts w:ascii="Arial" w:hAnsi="Arial" w:cs="Arial"/>
          <w:sz w:val="22"/>
        </w:rPr>
      </w:pPr>
      <w:hyperlink r:id="rId7" w:history="1">
        <w:r w:rsidR="004F4279" w:rsidRPr="008B5779">
          <w:rPr>
            <w:rStyle w:val="Hyperlink"/>
            <w:rFonts w:ascii="Arial" w:hAnsi="Arial" w:cs="Arial"/>
            <w:color w:val="4472C4" w:themeColor="accent1"/>
            <w:sz w:val="22"/>
            <w:u w:val="single"/>
          </w:rPr>
          <w:t xml:space="preserve">Chapter 8 of the </w:t>
        </w:r>
        <w:r w:rsidR="004F4279" w:rsidRPr="008B5779">
          <w:rPr>
            <w:rStyle w:val="Hyperlink"/>
            <w:rFonts w:ascii="Arial" w:hAnsi="Arial" w:cs="Arial"/>
            <w:color w:val="4472C4" w:themeColor="accent1"/>
            <w:sz w:val="22"/>
            <w:szCs w:val="22"/>
            <w:u w:val="single"/>
          </w:rPr>
          <w:t>handbook</w:t>
        </w:r>
      </w:hyperlink>
      <w:r w:rsidR="004F4279" w:rsidRPr="00093C31">
        <w:rPr>
          <w:rFonts w:ascii="Arial" w:hAnsi="Arial" w:cs="Arial"/>
          <w:sz w:val="22"/>
          <w:szCs w:val="22"/>
        </w:rPr>
        <w:t xml:space="preserve"> </w:t>
      </w:r>
      <w:r w:rsidR="004F4279" w:rsidRPr="00093C31">
        <w:rPr>
          <w:rFonts w:ascii="Arial" w:hAnsi="Arial" w:cs="Arial"/>
          <w:i/>
          <w:sz w:val="22"/>
          <w:szCs w:val="22"/>
        </w:rPr>
        <w:t xml:space="preserve">(34) </w:t>
      </w:r>
      <w:r w:rsidR="004F4279" w:rsidRPr="00093C31">
        <w:rPr>
          <w:rFonts w:ascii="Arial" w:hAnsi="Arial" w:cs="Arial"/>
          <w:sz w:val="22"/>
          <w:szCs w:val="22"/>
        </w:rPr>
        <w:t>addresses</w:t>
      </w:r>
      <w:r w:rsidR="004F4279" w:rsidRPr="00093C31">
        <w:rPr>
          <w:rFonts w:ascii="Arial" w:hAnsi="Arial" w:cs="Arial"/>
          <w:sz w:val="22"/>
        </w:rPr>
        <w:t xml:space="preserve"> budgeting for health and provides ample information </w:t>
      </w:r>
      <w:r w:rsidR="004F4279" w:rsidRPr="00093C31">
        <w:rPr>
          <w:rFonts w:ascii="Arial" w:hAnsi="Arial" w:cs="Arial"/>
          <w:sz w:val="22"/>
          <w:szCs w:val="22"/>
        </w:rPr>
        <w:t>on</w:t>
      </w:r>
      <w:r w:rsidR="004F4279" w:rsidRPr="00093C31">
        <w:rPr>
          <w:rFonts w:ascii="Arial" w:hAnsi="Arial" w:cs="Arial"/>
          <w:sz w:val="22"/>
        </w:rPr>
        <w:t xml:space="preserve"> the budgeting process for the sector</w:t>
      </w:r>
      <w:r w:rsidR="004F4279" w:rsidRPr="00093C31">
        <w:rPr>
          <w:rFonts w:ascii="Arial" w:hAnsi="Arial" w:cs="Arial"/>
          <w:sz w:val="22"/>
          <w:szCs w:val="22"/>
        </w:rPr>
        <w:t>,</w:t>
      </w:r>
      <w:r w:rsidR="004F4279" w:rsidRPr="00093C31">
        <w:rPr>
          <w:rFonts w:ascii="Arial" w:hAnsi="Arial" w:cs="Arial"/>
          <w:sz w:val="22"/>
        </w:rPr>
        <w:t xml:space="preserve"> including the budget cycle and the role of the </w:t>
      </w:r>
      <w:r w:rsidR="004F4279" w:rsidRPr="00093C31">
        <w:rPr>
          <w:rFonts w:ascii="Arial" w:hAnsi="Arial" w:cs="Arial"/>
          <w:sz w:val="22"/>
          <w:szCs w:val="22"/>
        </w:rPr>
        <w:t>ministry</w:t>
      </w:r>
      <w:r w:rsidR="004F4279" w:rsidRPr="00093C31">
        <w:rPr>
          <w:rFonts w:ascii="Arial" w:hAnsi="Arial" w:cs="Arial"/>
          <w:sz w:val="22"/>
        </w:rPr>
        <w:t xml:space="preserve"> of </w:t>
      </w:r>
      <w:r w:rsidR="004F4279" w:rsidRPr="00093C31">
        <w:rPr>
          <w:rFonts w:ascii="Arial" w:hAnsi="Arial" w:cs="Arial"/>
          <w:sz w:val="22"/>
          <w:szCs w:val="22"/>
        </w:rPr>
        <w:t>health. For</w:t>
      </w:r>
      <w:r w:rsidR="004F4279" w:rsidRPr="00093C31">
        <w:rPr>
          <w:rFonts w:ascii="Arial" w:hAnsi="Arial" w:cs="Arial"/>
          <w:sz w:val="22"/>
        </w:rPr>
        <w:t xml:space="preserve"> this </w:t>
      </w:r>
      <w:r w:rsidR="004F4279" w:rsidRPr="00093C31">
        <w:rPr>
          <w:rFonts w:ascii="Arial" w:hAnsi="Arial" w:cs="Arial"/>
          <w:sz w:val="22"/>
          <w:szCs w:val="22"/>
        </w:rPr>
        <w:t>toolkit, chapter</w:t>
      </w:r>
      <w:r w:rsidR="004F4279" w:rsidRPr="00093C31">
        <w:rPr>
          <w:rFonts w:ascii="Arial" w:hAnsi="Arial" w:cs="Arial"/>
          <w:sz w:val="22"/>
        </w:rPr>
        <w:t xml:space="preserve"> 8 of the </w:t>
      </w:r>
      <w:r w:rsidR="004F4279" w:rsidRPr="00093C31">
        <w:rPr>
          <w:rFonts w:ascii="Arial" w:hAnsi="Arial" w:cs="Arial"/>
          <w:sz w:val="22"/>
          <w:szCs w:val="22"/>
        </w:rPr>
        <w:t>handbook</w:t>
      </w:r>
      <w:r w:rsidR="004F4279" w:rsidRPr="00093C31">
        <w:rPr>
          <w:rFonts w:ascii="Arial" w:hAnsi="Arial" w:cs="Arial"/>
          <w:sz w:val="22"/>
        </w:rPr>
        <w:t xml:space="preserve"> should be used to illustrate the link between the overall budget cycle and the health budget cycle. </w:t>
      </w:r>
    </w:p>
    <w:p w14:paraId="53CBC06D" w14:textId="77777777" w:rsidR="00645329" w:rsidRPr="00645329" w:rsidRDefault="00645329" w:rsidP="00645329">
      <w:pPr>
        <w:spacing w:after="120"/>
        <w:jc w:val="both"/>
        <w:rPr>
          <w:rFonts w:ascii="Arial" w:hAnsi="Arial" w:cs="Arial"/>
          <w:sz w:val="22"/>
          <w:lang w:val="en-GB"/>
        </w:rPr>
      </w:pPr>
    </w:p>
    <w:p w14:paraId="39A322C6" w14:textId="77777777" w:rsidR="00645329" w:rsidRPr="00645329" w:rsidRDefault="00645329" w:rsidP="00645329">
      <w:pPr>
        <w:spacing w:after="120"/>
        <w:jc w:val="both"/>
        <w:rPr>
          <w:rFonts w:ascii="Arial" w:hAnsi="Arial" w:cs="Arial"/>
          <w:b/>
          <w:sz w:val="22"/>
          <w:lang w:val="en-GB"/>
        </w:rPr>
      </w:pPr>
      <w:bookmarkStart w:id="1" w:name="_Toc21678195"/>
      <w:bookmarkStart w:id="2" w:name="_Toc72157332"/>
      <w:r w:rsidRPr="00645329">
        <w:rPr>
          <w:rFonts w:ascii="Arial" w:hAnsi="Arial" w:cs="Arial"/>
          <w:b/>
          <w:sz w:val="22"/>
          <w:lang w:val="en-GB"/>
        </w:rPr>
        <w:t>Activity: Identifying the role of the ministry of health in the budget cycle</w:t>
      </w:r>
      <w:bookmarkEnd w:id="1"/>
      <w:bookmarkEnd w:id="2"/>
    </w:p>
    <w:p w14:paraId="4279DC66" w14:textId="77777777" w:rsidR="00645329" w:rsidRPr="00645329" w:rsidRDefault="00645329" w:rsidP="00645329">
      <w:pPr>
        <w:spacing w:after="120"/>
        <w:jc w:val="both"/>
        <w:rPr>
          <w:rFonts w:ascii="Arial" w:hAnsi="Arial" w:cs="Arial"/>
          <w:sz w:val="22"/>
          <w:lang w:val="en-GB"/>
        </w:rPr>
      </w:pPr>
      <w:r w:rsidRPr="00645329">
        <w:rPr>
          <w:rFonts w:ascii="Arial" w:hAnsi="Arial" w:cs="Arial"/>
          <w:sz w:val="22"/>
          <w:lang w:val="en-GB"/>
        </w:rPr>
        <w:t xml:space="preserve">Look at sections 8.4 and 8.5 in Chapter 8 of WHO’s Strategizing health in the 21st century </w:t>
      </w:r>
      <w:r w:rsidRPr="00645329">
        <w:rPr>
          <w:rFonts w:ascii="Arial" w:hAnsi="Arial" w:cs="Arial"/>
          <w:i/>
          <w:sz w:val="22"/>
          <w:lang w:val="en-GB"/>
        </w:rPr>
        <w:t>(34)</w:t>
      </w:r>
      <w:r w:rsidRPr="00645329">
        <w:rPr>
          <w:rFonts w:ascii="Arial" w:hAnsi="Arial" w:cs="Arial"/>
          <w:sz w:val="22"/>
          <w:lang w:val="en-GB"/>
        </w:rPr>
        <w:t xml:space="preserve">. </w:t>
      </w:r>
    </w:p>
    <w:p w14:paraId="5809000F" w14:textId="77777777" w:rsidR="00645329" w:rsidRPr="00645329" w:rsidRDefault="00645329" w:rsidP="00645329">
      <w:pPr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lang w:val="en-GB"/>
        </w:rPr>
      </w:pPr>
      <w:r w:rsidRPr="00645329">
        <w:rPr>
          <w:rFonts w:ascii="Arial" w:hAnsi="Arial" w:cs="Arial"/>
          <w:sz w:val="22"/>
          <w:lang w:val="en-GB"/>
        </w:rPr>
        <w:t xml:space="preserve">From this information, identify they key roles and functions of ministries of health in the budget cycle. </w:t>
      </w:r>
    </w:p>
    <w:p w14:paraId="6C541278" w14:textId="77777777" w:rsidR="00645329" w:rsidRPr="00645329" w:rsidRDefault="00645329" w:rsidP="00645329">
      <w:pPr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lang w:val="en-GB"/>
        </w:rPr>
      </w:pPr>
      <w:r w:rsidRPr="00645329">
        <w:rPr>
          <w:rFonts w:ascii="Arial" w:hAnsi="Arial" w:cs="Arial"/>
          <w:sz w:val="22"/>
          <w:lang w:val="en-GB"/>
        </w:rPr>
        <w:t xml:space="preserve">At which stage do you think its role is more important? Why? </w:t>
      </w:r>
    </w:p>
    <w:p w14:paraId="70556952" w14:textId="77777777" w:rsidR="00645329" w:rsidRPr="00645329" w:rsidRDefault="00645329" w:rsidP="00645329">
      <w:pPr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lang w:val="en-GB"/>
        </w:rPr>
      </w:pPr>
      <w:r w:rsidRPr="00645329">
        <w:rPr>
          <w:rFonts w:ascii="Arial" w:hAnsi="Arial" w:cs="Arial"/>
          <w:sz w:val="22"/>
          <w:lang w:val="en-GB"/>
        </w:rPr>
        <w:t xml:space="preserve">At which stage of the cycle do you think it most strategic to seek to influence or collaborate with the ministry of health in order to advocate for UHC? Why? </w:t>
      </w:r>
    </w:p>
    <w:p w14:paraId="17B66601" w14:textId="77777777" w:rsidR="00645329" w:rsidRPr="00645329" w:rsidRDefault="00645329" w:rsidP="00645329">
      <w:pPr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lang w:val="en-GB"/>
        </w:rPr>
      </w:pPr>
      <w:r w:rsidRPr="00645329">
        <w:rPr>
          <w:rFonts w:ascii="Arial" w:hAnsi="Arial" w:cs="Arial"/>
          <w:sz w:val="22"/>
          <w:lang w:val="en-GB"/>
        </w:rPr>
        <w:t xml:space="preserve">From this information, what type of input do you think you could have to the ministry of health in order to advocate for UHC? </w:t>
      </w:r>
    </w:p>
    <w:p w14:paraId="4B73E78A" w14:textId="77777777" w:rsidR="00645329" w:rsidRPr="00645329" w:rsidRDefault="00645329" w:rsidP="00645329">
      <w:pPr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lang w:val="en-GB"/>
        </w:rPr>
      </w:pPr>
      <w:r w:rsidRPr="00645329">
        <w:rPr>
          <w:rFonts w:ascii="Arial" w:hAnsi="Arial" w:cs="Arial"/>
          <w:sz w:val="22"/>
          <w:lang w:val="en-GB"/>
        </w:rPr>
        <w:t xml:space="preserve">What does this information teach you in terms of the budget cycle in general and its connections with UHC? </w:t>
      </w:r>
    </w:p>
    <w:p w14:paraId="24FAC825" w14:textId="3886754C" w:rsidR="004F4279" w:rsidRPr="00645329" w:rsidRDefault="004F4279" w:rsidP="004F4279">
      <w:pPr>
        <w:spacing w:after="120"/>
        <w:jc w:val="both"/>
        <w:rPr>
          <w:rFonts w:ascii="Arial" w:hAnsi="Arial" w:cs="Arial"/>
          <w:sz w:val="22"/>
          <w:lang w:val="en-GB"/>
        </w:rPr>
      </w:pPr>
      <w:bookmarkStart w:id="3" w:name="_GoBack"/>
      <w:bookmarkEnd w:id="3"/>
    </w:p>
    <w:p w14:paraId="6A4A9F4B" w14:textId="77777777" w:rsidR="00645329" w:rsidRPr="00093C31" w:rsidRDefault="00645329" w:rsidP="004F4279">
      <w:pPr>
        <w:spacing w:after="120"/>
        <w:jc w:val="both"/>
        <w:rPr>
          <w:rFonts w:ascii="Arial" w:hAnsi="Arial" w:cs="Arial"/>
          <w:sz w:val="22"/>
        </w:rPr>
      </w:pPr>
    </w:p>
    <w:p w14:paraId="43DCF90D" w14:textId="77777777" w:rsidR="004F4279" w:rsidRPr="00093C31" w:rsidRDefault="004F4279" w:rsidP="004F4279">
      <w:pPr>
        <w:spacing w:after="120"/>
        <w:jc w:val="both"/>
        <w:rPr>
          <w:rFonts w:ascii="Arial" w:hAnsi="Arial" w:cs="Arial"/>
          <w:sz w:val="22"/>
        </w:rPr>
      </w:pPr>
    </w:p>
    <w:p w14:paraId="7B6123B1" w14:textId="77777777" w:rsidR="000E1B0C" w:rsidRPr="00093C31" w:rsidRDefault="000E1B0C" w:rsidP="000E1B0C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684ED17" w14:textId="6C8117FE" w:rsidR="00B45B06" w:rsidRPr="00333C47" w:rsidRDefault="00B45B06" w:rsidP="00523E62">
      <w:pPr>
        <w:spacing w:after="120"/>
        <w:jc w:val="both"/>
        <w:rPr>
          <w:rFonts w:ascii="Arial" w:hAnsi="Arial" w:cs="Arial"/>
          <w:sz w:val="22"/>
        </w:rPr>
      </w:pPr>
    </w:p>
    <w:sectPr w:rsidR="00B45B06" w:rsidRPr="00333C47" w:rsidSect="00EC272E">
      <w:headerReference w:type="default" r:id="rId8"/>
      <w:footerReference w:type="default" r:id="rId9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B0E26" w14:textId="77777777" w:rsidR="00425448" w:rsidRDefault="00425448" w:rsidP="00EC272E">
      <w:r>
        <w:separator/>
      </w:r>
    </w:p>
  </w:endnote>
  <w:endnote w:type="continuationSeparator" w:id="0">
    <w:p w14:paraId="4D7F9EEA" w14:textId="77777777" w:rsidR="00425448" w:rsidRDefault="00425448" w:rsidP="00EC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 (Body CS)">
    <w:altName w:val="Tahoma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ED0F4" w14:textId="77777777" w:rsidR="00600C8D" w:rsidRPr="0086169F" w:rsidRDefault="00600C8D" w:rsidP="00600C8D">
    <w:pPr>
      <w:rPr>
        <w:rFonts w:ascii="Arial" w:hAnsi="Arial" w:cs="Arial"/>
      </w:rPr>
    </w:pPr>
  </w:p>
  <w:p w14:paraId="49F31288" w14:textId="77777777" w:rsidR="00600C8D" w:rsidRDefault="00600C8D" w:rsidP="00600C8D"/>
  <w:tbl>
    <w:tblPr>
      <w:tblStyle w:val="TableGrid"/>
      <w:tblW w:w="0" w:type="auto"/>
      <w:tblBorders>
        <w:top w:val="single" w:sz="4" w:space="0" w:color="00807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5"/>
      <w:gridCol w:w="3943"/>
    </w:tblGrid>
    <w:tr w:rsidR="00600C8D" w14:paraId="07A00F58" w14:textId="77777777" w:rsidTr="00CE0880">
      <w:tc>
        <w:tcPr>
          <w:tcW w:w="4885" w:type="dxa"/>
        </w:tcPr>
        <w:p w14:paraId="0D1AC8D8" w14:textId="77777777" w:rsidR="00600C8D" w:rsidRPr="00910245" w:rsidRDefault="00600C8D" w:rsidP="00600C8D">
          <w:pPr>
            <w:rPr>
              <w:rFonts w:ascii="Arial" w:eastAsia="MS Gothic" w:hAnsi="Arial" w:cs="Arial"/>
              <w:b/>
              <w:color w:val="008080"/>
              <w:sz w:val="18"/>
              <w:szCs w:val="18"/>
            </w:rPr>
          </w:pPr>
        </w:p>
        <w:p w14:paraId="5797CD5A" w14:textId="77777777" w:rsidR="00600C8D" w:rsidRPr="00910245" w:rsidRDefault="00600C8D" w:rsidP="00600C8D">
          <w:pPr>
            <w:rPr>
              <w:rFonts w:ascii="Arial" w:hAnsi="Arial" w:cs="Arial"/>
              <w:color w:val="008080"/>
              <w:sz w:val="18"/>
              <w:szCs w:val="18"/>
            </w:rPr>
          </w:pPr>
          <w:r w:rsidRPr="00910245">
            <w:rPr>
              <w:rFonts w:ascii="Arial" w:eastAsia="MS Gothic" w:hAnsi="Arial" w:cs="Arial"/>
              <w:b/>
              <w:color w:val="008080"/>
              <w:sz w:val="18"/>
              <w:szCs w:val="18"/>
            </w:rPr>
            <w:t>Chapter 2. Core content for understanding universal health coverage and public budgets for health</w:t>
          </w:r>
        </w:p>
        <w:p w14:paraId="75ADC916" w14:textId="77777777" w:rsidR="00600C8D" w:rsidRPr="00910245" w:rsidRDefault="00600C8D" w:rsidP="00600C8D">
          <w:pPr>
            <w:pStyle w:val="Footer"/>
            <w:rPr>
              <w:rFonts w:ascii="Arial" w:hAnsi="Arial" w:cs="Arial"/>
              <w:b/>
              <w:bCs/>
              <w:color w:val="3CA5DD"/>
              <w:sz w:val="18"/>
              <w:szCs w:val="18"/>
            </w:rPr>
          </w:pPr>
        </w:p>
        <w:p w14:paraId="061411D9" w14:textId="20C0643F" w:rsidR="00600C8D" w:rsidRPr="00910245" w:rsidRDefault="00DB2A7E" w:rsidP="00600C8D">
          <w:pPr>
            <w:pStyle w:val="Footer"/>
            <w:rPr>
              <w:rFonts w:ascii="Arial" w:hAnsi="Arial" w:cs="Arial"/>
              <w:b/>
              <w:bCs/>
              <w:color w:val="3CA5DD"/>
            </w:rPr>
          </w:pPr>
          <w:r w:rsidRPr="00B26630">
            <w:rPr>
              <w:rFonts w:ascii="Arial" w:hAnsi="Arial" w:cs="Arial"/>
              <w:b/>
              <w:bCs/>
              <w:color w:val="3CA5DD"/>
              <w:sz w:val="18"/>
              <w:szCs w:val="18"/>
            </w:rPr>
            <w:t xml:space="preserve">Module 2. Introduction to public financing for health relevant for budget advocacy for universal health coverage </w:t>
          </w:r>
        </w:p>
      </w:tc>
      <w:tc>
        <w:tcPr>
          <w:tcW w:w="3943" w:type="dxa"/>
        </w:tcPr>
        <w:p w14:paraId="4AFD5FD6" w14:textId="77777777" w:rsidR="00600C8D" w:rsidRPr="00910245" w:rsidRDefault="00600C8D" w:rsidP="00D34792">
          <w:pPr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</w:pPr>
        </w:p>
        <w:p w14:paraId="797138E1" w14:textId="366F1139" w:rsidR="00600C8D" w:rsidRPr="00910245" w:rsidRDefault="00742DA9" w:rsidP="00D34792">
          <w:pPr>
            <w:rPr>
              <w:rFonts w:ascii="Arial" w:eastAsia="MS Gothic" w:hAnsi="Arial" w:cs="Arial"/>
              <w:b/>
              <w:color w:val="008080"/>
              <w:sz w:val="18"/>
              <w:szCs w:val="18"/>
            </w:rPr>
          </w:pPr>
          <w:r w:rsidRPr="005002AE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Section C. Introduction to the budget cycle and links with planning universal health coverage</w:t>
          </w:r>
        </w:p>
      </w:tc>
    </w:tr>
  </w:tbl>
  <w:p w14:paraId="22796356" w14:textId="77777777" w:rsidR="00600C8D" w:rsidRPr="0086169F" w:rsidRDefault="00600C8D" w:rsidP="00600C8D">
    <w:pPr>
      <w:pStyle w:val="Footer"/>
      <w:jc w:val="right"/>
      <w:rPr>
        <w:rFonts w:ascii="Arial" w:hAnsi="Arial" w:cs="Arial"/>
        <w:b/>
        <w:bCs/>
        <w:color w:val="008080"/>
        <w:sz w:val="20"/>
        <w:szCs w:val="20"/>
      </w:rPr>
    </w:pPr>
    <w:r w:rsidRPr="0086169F">
      <w:rPr>
        <w:rFonts w:ascii="Arial" w:hAnsi="Arial" w:cs="Arial"/>
        <w:b/>
        <w:bCs/>
        <w:color w:val="008080"/>
        <w:sz w:val="20"/>
        <w:szCs w:val="20"/>
      </w:rPr>
      <w:fldChar w:fldCharType="begin"/>
    </w:r>
    <w:r w:rsidRPr="0086169F">
      <w:rPr>
        <w:rFonts w:ascii="Arial" w:hAnsi="Arial" w:cs="Arial"/>
        <w:b/>
        <w:bCs/>
        <w:color w:val="008080"/>
        <w:sz w:val="20"/>
        <w:szCs w:val="20"/>
      </w:rPr>
      <w:instrText xml:space="preserve"> PAGE   \* MERGEFORMAT </w:instrText>
    </w:r>
    <w:r w:rsidRPr="0086169F">
      <w:rPr>
        <w:rFonts w:ascii="Arial" w:hAnsi="Arial" w:cs="Arial"/>
        <w:b/>
        <w:bCs/>
        <w:color w:val="008080"/>
        <w:sz w:val="20"/>
        <w:szCs w:val="20"/>
      </w:rPr>
      <w:fldChar w:fldCharType="separate"/>
    </w:r>
    <w:r>
      <w:rPr>
        <w:rFonts w:ascii="Arial" w:hAnsi="Arial" w:cs="Arial"/>
        <w:b/>
        <w:bCs/>
        <w:color w:val="008080"/>
        <w:sz w:val="20"/>
        <w:szCs w:val="20"/>
      </w:rPr>
      <w:t>27</w:t>
    </w:r>
    <w:r w:rsidRPr="0086169F">
      <w:rPr>
        <w:rFonts w:ascii="Arial" w:hAnsi="Arial" w:cs="Arial"/>
        <w:b/>
        <w:bCs/>
        <w:color w:val="008080"/>
        <w:sz w:val="20"/>
        <w:szCs w:val="20"/>
      </w:rPr>
      <w:fldChar w:fldCharType="end"/>
    </w:r>
  </w:p>
  <w:p w14:paraId="53527D5D" w14:textId="53294A66" w:rsidR="00EC272E" w:rsidRDefault="00600C8D" w:rsidP="00600C8D">
    <w:pPr>
      <w:pStyle w:val="Footer"/>
      <w:tabs>
        <w:tab w:val="clear" w:pos="4680"/>
        <w:tab w:val="clear" w:pos="9360"/>
        <w:tab w:val="left" w:pos="1315"/>
      </w:tabs>
      <w:rPr>
        <w:rFonts w:ascii="Arial" w:hAnsi="Arial" w:cs="Arial"/>
      </w:rPr>
    </w:pPr>
    <w:r w:rsidRPr="0086169F">
      <w:rPr>
        <w:rFonts w:ascii="Arial" w:hAnsi="Arial" w:cs="Arial"/>
      </w:rPr>
      <w:tab/>
    </w:r>
  </w:p>
  <w:p w14:paraId="7217FAB3" w14:textId="77777777" w:rsidR="00600C8D" w:rsidRPr="00600C8D" w:rsidRDefault="00600C8D" w:rsidP="00600C8D">
    <w:pPr>
      <w:pStyle w:val="Footer"/>
      <w:tabs>
        <w:tab w:val="clear" w:pos="4680"/>
        <w:tab w:val="clear" w:pos="9360"/>
        <w:tab w:val="left" w:pos="1315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AB73E" w14:textId="77777777" w:rsidR="00425448" w:rsidRDefault="00425448" w:rsidP="00EC272E">
      <w:r>
        <w:separator/>
      </w:r>
    </w:p>
  </w:footnote>
  <w:footnote w:type="continuationSeparator" w:id="0">
    <w:p w14:paraId="149CBA51" w14:textId="77777777" w:rsidR="00425448" w:rsidRDefault="00425448" w:rsidP="00EC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6134"/>
    </w:tblGrid>
    <w:tr w:rsidR="00EC272E" w14:paraId="0F635AB7" w14:textId="77777777" w:rsidTr="00CE0880">
      <w:trPr>
        <w:trHeight w:val="1138"/>
      </w:trPr>
      <w:tc>
        <w:tcPr>
          <w:tcW w:w="2694" w:type="dxa"/>
          <w:tcBorders>
            <w:bottom w:val="single" w:sz="4" w:space="0" w:color="00807F"/>
          </w:tcBorders>
        </w:tcPr>
        <w:p w14:paraId="78509BE4" w14:textId="77777777" w:rsidR="00EC272E" w:rsidRDefault="00EC272E" w:rsidP="00EC272E">
          <w:pPr>
            <w:rPr>
              <w:rFonts w:cs="Arial"/>
              <w:b/>
              <w:color w:val="3CA5DD"/>
            </w:rPr>
          </w:pPr>
          <w:r>
            <w:rPr>
              <w:rFonts w:ascii="Arial" w:hAnsi="Arial" w:cs="Arial"/>
              <w:b/>
              <w:noProof/>
              <w:color w:val="008080"/>
              <w:sz w:val="48"/>
              <w:szCs w:val="48"/>
            </w:rPr>
            <w:drawing>
              <wp:anchor distT="0" distB="0" distL="114300" distR="114300" simplePos="0" relativeHeight="251659264" behindDoc="0" locked="0" layoutInCell="1" allowOverlap="1" wp14:anchorId="03848227" wp14:editId="0D81BCCE">
                <wp:simplePos x="0" y="0"/>
                <wp:positionH relativeFrom="column">
                  <wp:posOffset>-18415</wp:posOffset>
                </wp:positionH>
                <wp:positionV relativeFrom="paragraph">
                  <wp:posOffset>483235</wp:posOffset>
                </wp:positionV>
                <wp:extent cx="1102995" cy="312111"/>
                <wp:effectExtent l="0" t="0" r="1905" b="5715"/>
                <wp:wrapNone/>
                <wp:docPr id="34" name="Picture 34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 descr="Text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995" cy="312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B20F1">
            <w:rPr>
              <w:rFonts w:cs="Arial"/>
              <w:b/>
              <w:noProof/>
              <w:color w:val="008080"/>
              <w:sz w:val="64"/>
              <w:szCs w:val="64"/>
            </w:rPr>
            <w:drawing>
              <wp:inline distT="0" distB="0" distL="0" distR="0" wp14:anchorId="4534EBE0" wp14:editId="1A49BD54">
                <wp:extent cx="1103235" cy="373487"/>
                <wp:effectExtent l="0" t="0" r="1905" b="0"/>
                <wp:docPr id="35" name="Picture 35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" name="Picture 153" descr="Icon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3235" cy="373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4" w:type="dxa"/>
          <w:tcBorders>
            <w:bottom w:val="single" w:sz="4" w:space="0" w:color="00807F"/>
          </w:tcBorders>
        </w:tcPr>
        <w:p w14:paraId="47796E31" w14:textId="77777777" w:rsidR="00EC272E" w:rsidRDefault="00EC272E" w:rsidP="00EC272E">
          <w:pPr>
            <w:jc w:val="right"/>
            <w:rPr>
              <w:rFonts w:cs="Arial"/>
              <w:b/>
              <w:color w:val="008080"/>
            </w:rPr>
          </w:pPr>
        </w:p>
        <w:p w14:paraId="18852B17" w14:textId="77777777" w:rsidR="00EC272E" w:rsidRPr="006B56E7" w:rsidRDefault="00EC272E" w:rsidP="00EC272E">
          <w:pPr>
            <w:jc w:val="right"/>
            <w:rPr>
              <w:rFonts w:ascii="Arial" w:hAnsi="Arial" w:cs="Arial"/>
              <w:b/>
              <w:color w:val="008080"/>
            </w:rPr>
          </w:pPr>
          <w:r w:rsidRPr="006B56E7">
            <w:rPr>
              <w:rFonts w:ascii="Arial" w:hAnsi="Arial" w:cs="Arial"/>
              <w:b/>
              <w:color w:val="008080"/>
            </w:rPr>
            <w:t xml:space="preserve">Health budget literacy, advocacy and accountability for </w:t>
          </w:r>
          <w:r w:rsidRPr="00EC272E">
            <w:rPr>
              <w:rFonts w:ascii="Arial" w:hAnsi="Arial" w:cs="Arial"/>
              <w:b/>
              <w:color w:val="008080"/>
            </w:rPr>
            <w:t>universal</w:t>
          </w:r>
          <w:r w:rsidRPr="006B56E7">
            <w:rPr>
              <w:rFonts w:ascii="Arial" w:hAnsi="Arial" w:cs="Arial"/>
              <w:b/>
              <w:color w:val="008080"/>
            </w:rPr>
            <w:t xml:space="preserve"> health coverage</w:t>
          </w:r>
        </w:p>
        <w:p w14:paraId="47D2CA4D" w14:textId="77777777" w:rsidR="00EC272E" w:rsidRDefault="00EC272E" w:rsidP="00EC272E">
          <w:pPr>
            <w:jc w:val="right"/>
            <w:rPr>
              <w:rFonts w:ascii="Arial" w:hAnsi="Arial" w:cs="Arial"/>
              <w:b/>
              <w:color w:val="3CA5DD"/>
            </w:rPr>
          </w:pPr>
          <w:r w:rsidRPr="006B56E7">
            <w:rPr>
              <w:rFonts w:ascii="Arial" w:hAnsi="Arial" w:cs="Arial"/>
              <w:b/>
              <w:color w:val="3CA5DD"/>
            </w:rPr>
            <w:t>Toolkit for capacity-building</w:t>
          </w:r>
        </w:p>
        <w:p w14:paraId="7CA7C79B" w14:textId="77777777" w:rsidR="00EC272E" w:rsidRDefault="00EC272E" w:rsidP="00EC272E">
          <w:pPr>
            <w:jc w:val="right"/>
            <w:rPr>
              <w:rFonts w:cs="Arial"/>
              <w:b/>
              <w:color w:val="3CA5DD"/>
            </w:rPr>
          </w:pPr>
        </w:p>
        <w:p w14:paraId="4BA18B21" w14:textId="77777777" w:rsidR="00EC272E" w:rsidRDefault="00EC272E" w:rsidP="00EC272E">
          <w:pPr>
            <w:jc w:val="right"/>
            <w:rPr>
              <w:rFonts w:cs="Arial"/>
              <w:b/>
              <w:color w:val="3CA5DD"/>
            </w:rPr>
          </w:pPr>
        </w:p>
      </w:tc>
    </w:tr>
  </w:tbl>
  <w:p w14:paraId="2D9BFBCB" w14:textId="77777777" w:rsidR="00EC272E" w:rsidRDefault="00EC2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F9C"/>
    <w:multiLevelType w:val="multilevel"/>
    <w:tmpl w:val="6152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657FF"/>
    <w:multiLevelType w:val="hybridMultilevel"/>
    <w:tmpl w:val="4524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962A2"/>
    <w:multiLevelType w:val="hybridMultilevel"/>
    <w:tmpl w:val="63B4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4461E7"/>
    <w:multiLevelType w:val="hybridMultilevel"/>
    <w:tmpl w:val="312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62B92"/>
    <w:multiLevelType w:val="hybridMultilevel"/>
    <w:tmpl w:val="7CF8A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381B"/>
    <w:multiLevelType w:val="hybridMultilevel"/>
    <w:tmpl w:val="28C22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14033"/>
    <w:multiLevelType w:val="hybridMultilevel"/>
    <w:tmpl w:val="2D38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63C6"/>
    <w:multiLevelType w:val="hybridMultilevel"/>
    <w:tmpl w:val="C982157C"/>
    <w:lvl w:ilvl="0" w:tplc="B84CF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25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104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0E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0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2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E4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AA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E6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2D43EF"/>
    <w:multiLevelType w:val="hybridMultilevel"/>
    <w:tmpl w:val="E4D4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B20CFD"/>
    <w:multiLevelType w:val="hybridMultilevel"/>
    <w:tmpl w:val="CBD661BE"/>
    <w:lvl w:ilvl="0" w:tplc="E8A22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E456B"/>
    <w:multiLevelType w:val="hybridMultilevel"/>
    <w:tmpl w:val="D76AB9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FF42D7"/>
    <w:multiLevelType w:val="hybridMultilevel"/>
    <w:tmpl w:val="EB941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07780"/>
    <w:multiLevelType w:val="hybridMultilevel"/>
    <w:tmpl w:val="73364980"/>
    <w:lvl w:ilvl="0" w:tplc="E8A22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C440E"/>
    <w:multiLevelType w:val="hybridMultilevel"/>
    <w:tmpl w:val="45703BCE"/>
    <w:lvl w:ilvl="0" w:tplc="E8A22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63C5"/>
    <w:multiLevelType w:val="hybridMultilevel"/>
    <w:tmpl w:val="B1105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D35E7"/>
    <w:multiLevelType w:val="hybridMultilevel"/>
    <w:tmpl w:val="FDBE0D7A"/>
    <w:lvl w:ilvl="0" w:tplc="8BF470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6F3258"/>
    <w:multiLevelType w:val="hybridMultilevel"/>
    <w:tmpl w:val="2556C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61210"/>
    <w:multiLevelType w:val="multilevel"/>
    <w:tmpl w:val="26C4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131C8C"/>
    <w:multiLevelType w:val="multilevel"/>
    <w:tmpl w:val="D6A8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A73C06"/>
    <w:multiLevelType w:val="hybridMultilevel"/>
    <w:tmpl w:val="07942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62C1B"/>
    <w:multiLevelType w:val="hybridMultilevel"/>
    <w:tmpl w:val="AAC4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F5E50"/>
    <w:multiLevelType w:val="hybridMultilevel"/>
    <w:tmpl w:val="65C6E828"/>
    <w:lvl w:ilvl="0" w:tplc="E8A22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1758B"/>
    <w:multiLevelType w:val="hybridMultilevel"/>
    <w:tmpl w:val="73F6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86441F"/>
    <w:multiLevelType w:val="multilevel"/>
    <w:tmpl w:val="57BA14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4" w15:restartNumberingAfterBreak="0">
    <w:nsid w:val="52CB02BA"/>
    <w:multiLevelType w:val="hybridMultilevel"/>
    <w:tmpl w:val="9962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0685F"/>
    <w:multiLevelType w:val="multilevel"/>
    <w:tmpl w:val="4A6A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BF79DD"/>
    <w:multiLevelType w:val="hybridMultilevel"/>
    <w:tmpl w:val="E314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227DE8"/>
    <w:multiLevelType w:val="hybridMultilevel"/>
    <w:tmpl w:val="E22077E0"/>
    <w:lvl w:ilvl="0" w:tplc="E8A22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578A1"/>
    <w:multiLevelType w:val="hybridMultilevel"/>
    <w:tmpl w:val="2776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D93F5E"/>
    <w:multiLevelType w:val="hybridMultilevel"/>
    <w:tmpl w:val="4F76C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3032F"/>
    <w:multiLevelType w:val="hybridMultilevel"/>
    <w:tmpl w:val="238CF9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0B4BB2"/>
    <w:multiLevelType w:val="hybridMultilevel"/>
    <w:tmpl w:val="588AF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F76B1"/>
    <w:multiLevelType w:val="hybridMultilevel"/>
    <w:tmpl w:val="7082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1321E"/>
    <w:multiLevelType w:val="hybridMultilevel"/>
    <w:tmpl w:val="7B2E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33"/>
  </w:num>
  <w:num w:numId="5">
    <w:abstractNumId w:val="19"/>
  </w:num>
  <w:num w:numId="6">
    <w:abstractNumId w:val="23"/>
  </w:num>
  <w:num w:numId="7">
    <w:abstractNumId w:val="14"/>
  </w:num>
  <w:num w:numId="8">
    <w:abstractNumId w:val="32"/>
  </w:num>
  <w:num w:numId="9">
    <w:abstractNumId w:val="29"/>
  </w:num>
  <w:num w:numId="10">
    <w:abstractNumId w:val="11"/>
  </w:num>
  <w:num w:numId="11">
    <w:abstractNumId w:val="24"/>
  </w:num>
  <w:num w:numId="12">
    <w:abstractNumId w:val="12"/>
  </w:num>
  <w:num w:numId="13">
    <w:abstractNumId w:val="16"/>
  </w:num>
  <w:num w:numId="14">
    <w:abstractNumId w:val="5"/>
  </w:num>
  <w:num w:numId="15">
    <w:abstractNumId w:val="18"/>
  </w:num>
  <w:num w:numId="16">
    <w:abstractNumId w:val="0"/>
  </w:num>
  <w:num w:numId="17">
    <w:abstractNumId w:val="25"/>
  </w:num>
  <w:num w:numId="18">
    <w:abstractNumId w:val="17"/>
  </w:num>
  <w:num w:numId="19">
    <w:abstractNumId w:val="3"/>
  </w:num>
  <w:num w:numId="20">
    <w:abstractNumId w:val="1"/>
  </w:num>
  <w:num w:numId="21">
    <w:abstractNumId w:val="10"/>
  </w:num>
  <w:num w:numId="22">
    <w:abstractNumId w:val="27"/>
  </w:num>
  <w:num w:numId="23">
    <w:abstractNumId w:val="7"/>
  </w:num>
  <w:num w:numId="24">
    <w:abstractNumId w:val="15"/>
  </w:num>
  <w:num w:numId="25">
    <w:abstractNumId w:val="4"/>
  </w:num>
  <w:num w:numId="26">
    <w:abstractNumId w:val="31"/>
  </w:num>
  <w:num w:numId="27">
    <w:abstractNumId w:val="6"/>
  </w:num>
  <w:num w:numId="28">
    <w:abstractNumId w:val="20"/>
  </w:num>
  <w:num w:numId="29">
    <w:abstractNumId w:val="26"/>
  </w:num>
  <w:num w:numId="30">
    <w:abstractNumId w:val="22"/>
  </w:num>
  <w:num w:numId="31">
    <w:abstractNumId w:val="2"/>
  </w:num>
  <w:num w:numId="32">
    <w:abstractNumId w:val="21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2E"/>
    <w:rsid w:val="000425E2"/>
    <w:rsid w:val="00042CC5"/>
    <w:rsid w:val="000B1F5F"/>
    <w:rsid w:val="000D2016"/>
    <w:rsid w:val="000D5BC0"/>
    <w:rsid w:val="000E1B0C"/>
    <w:rsid w:val="00105E9A"/>
    <w:rsid w:val="00156EC3"/>
    <w:rsid w:val="00280788"/>
    <w:rsid w:val="002A0F3F"/>
    <w:rsid w:val="002D2BE4"/>
    <w:rsid w:val="003065AE"/>
    <w:rsid w:val="003268F6"/>
    <w:rsid w:val="00332F53"/>
    <w:rsid w:val="00333C47"/>
    <w:rsid w:val="003D124A"/>
    <w:rsid w:val="00400A78"/>
    <w:rsid w:val="00425448"/>
    <w:rsid w:val="00431272"/>
    <w:rsid w:val="004334AD"/>
    <w:rsid w:val="00454E95"/>
    <w:rsid w:val="004A24BB"/>
    <w:rsid w:val="004F4279"/>
    <w:rsid w:val="00523E62"/>
    <w:rsid w:val="005359DA"/>
    <w:rsid w:val="005C14A4"/>
    <w:rsid w:val="00600C8D"/>
    <w:rsid w:val="00632360"/>
    <w:rsid w:val="00645329"/>
    <w:rsid w:val="007249A2"/>
    <w:rsid w:val="00742DA9"/>
    <w:rsid w:val="0078164A"/>
    <w:rsid w:val="00784F91"/>
    <w:rsid w:val="007A4CB0"/>
    <w:rsid w:val="007B1413"/>
    <w:rsid w:val="007E23C4"/>
    <w:rsid w:val="00811D7C"/>
    <w:rsid w:val="008603E3"/>
    <w:rsid w:val="00896C8C"/>
    <w:rsid w:val="00953035"/>
    <w:rsid w:val="009A1B3E"/>
    <w:rsid w:val="00A0194E"/>
    <w:rsid w:val="00A431D5"/>
    <w:rsid w:val="00B45B06"/>
    <w:rsid w:val="00D1217B"/>
    <w:rsid w:val="00D34792"/>
    <w:rsid w:val="00DB2A7E"/>
    <w:rsid w:val="00DC29BE"/>
    <w:rsid w:val="00DD4A6B"/>
    <w:rsid w:val="00EA42DB"/>
    <w:rsid w:val="00EC272E"/>
    <w:rsid w:val="00EE5FBC"/>
    <w:rsid w:val="00F64B31"/>
    <w:rsid w:val="00F7170F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70ABE3"/>
  <w15:chartTrackingRefBased/>
  <w15:docId w15:val="{0DC45A1E-7372-BC45-9040-348B3157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EC272E"/>
    <w:pPr>
      <w:outlineLvl w:val="0"/>
    </w:pPr>
    <w:rPr>
      <w:color w:val="00808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7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272E"/>
    <w:pPr>
      <w:spacing w:after="120"/>
      <w:jc w:val="both"/>
      <w:outlineLvl w:val="2"/>
    </w:pPr>
    <w:rPr>
      <w:rFonts w:ascii="Arial" w:eastAsia="MS Mincho" w:hAnsi="Arial" w:cs="Arial"/>
      <w:b/>
      <w:color w:val="3CA5DD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EC272E"/>
    <w:pPr>
      <w:spacing w:after="120"/>
      <w:jc w:val="both"/>
      <w:outlineLvl w:val="3"/>
    </w:pPr>
    <w:rPr>
      <w:rFonts w:ascii="Arial" w:eastAsia="MS Mincho" w:hAnsi="Arial" w:cs="Arial"/>
      <w:b/>
      <w:iCs/>
      <w:color w:val="3CA5DD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A0194E"/>
    <w:pPr>
      <w:tabs>
        <w:tab w:val="left" w:pos="630"/>
        <w:tab w:val="right" w:pos="10070"/>
      </w:tabs>
      <w:spacing w:before="360" w:line="274" w:lineRule="auto"/>
    </w:pPr>
    <w:rPr>
      <w:rFonts w:ascii="Arial" w:hAnsi="Arial" w:cs="Tahoma (Body CS)"/>
      <w:bCs/>
      <w:noProof/>
      <w:color w:val="013147"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194E"/>
    <w:pPr>
      <w:spacing w:before="120" w:line="274" w:lineRule="auto"/>
      <w:ind w:left="210"/>
    </w:pPr>
    <w:rPr>
      <w:rFonts w:ascii="Arial" w:hAnsi="Arial"/>
      <w:color w:val="6E9AC7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0194E"/>
    <w:pPr>
      <w:spacing w:before="120" w:line="274" w:lineRule="auto"/>
      <w:ind w:left="420"/>
    </w:pPr>
    <w:rPr>
      <w:rFonts w:ascii="Arial" w:hAnsi="Arial"/>
      <w:color w:val="6E9AC7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0194E"/>
    <w:pPr>
      <w:spacing w:before="120" w:line="274" w:lineRule="auto"/>
      <w:ind w:left="629"/>
    </w:pPr>
    <w:rPr>
      <w:rFonts w:ascii="Arial" w:hAnsi="Arial"/>
      <w:color w:val="6E9AC7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A0194E"/>
    <w:pPr>
      <w:spacing w:before="120" w:line="274" w:lineRule="auto"/>
      <w:ind w:left="839"/>
    </w:pPr>
    <w:rPr>
      <w:rFonts w:ascii="Arial" w:hAnsi="Arial"/>
      <w:color w:val="6E9AC7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A0194E"/>
    <w:pPr>
      <w:spacing w:before="120" w:line="274" w:lineRule="auto"/>
      <w:ind w:left="1049"/>
    </w:pPr>
    <w:rPr>
      <w:rFonts w:ascii="Arial" w:hAnsi="Arial"/>
      <w:color w:val="6E9AC7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A0194E"/>
    <w:pPr>
      <w:spacing w:before="120" w:line="274" w:lineRule="auto"/>
      <w:ind w:left="1259"/>
    </w:pPr>
    <w:rPr>
      <w:rFonts w:ascii="Arial" w:hAnsi="Arial"/>
      <w:color w:val="6E9AC7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A0194E"/>
    <w:pPr>
      <w:spacing w:before="120" w:line="274" w:lineRule="auto"/>
      <w:ind w:left="1469"/>
    </w:pPr>
    <w:rPr>
      <w:rFonts w:ascii="Arial" w:hAnsi="Arial"/>
      <w:color w:val="6E9AC7"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0194E"/>
    <w:pPr>
      <w:spacing w:before="240" w:line="274" w:lineRule="auto"/>
    </w:pPr>
    <w:rPr>
      <w:rFonts w:ascii="Arial" w:hAnsi="Arial" w:cs="Tahoma (Body CS)"/>
      <w:bCs/>
      <w:color w:val="013147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C272E"/>
    <w:rPr>
      <w:rFonts w:ascii="Arial" w:eastAsia="MS Mincho" w:hAnsi="Arial" w:cs="Arial"/>
      <w:b/>
      <w:color w:val="3CA5DD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C272E"/>
    <w:rPr>
      <w:rFonts w:ascii="Arial" w:eastAsia="MS Mincho" w:hAnsi="Arial" w:cs="Arial"/>
      <w:b/>
      <w:iCs/>
      <w:color w:val="3CA5DD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EC272E"/>
    <w:rPr>
      <w:rFonts w:ascii="Arial" w:eastAsia="MS Mincho" w:hAnsi="Arial" w:cs="Times New Roman"/>
      <w:color w:val="767171"/>
      <w:sz w:val="18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272E"/>
    <w:rPr>
      <w:rFonts w:ascii="Arial" w:eastAsia="MS Mincho" w:hAnsi="Arial" w:cs="Times New Roman"/>
      <w:color w:val="767171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EC272E"/>
    <w:rPr>
      <w:vertAlign w:val="superscript"/>
    </w:rPr>
  </w:style>
  <w:style w:type="paragraph" w:customStyle="1" w:styleId="TableHeadings">
    <w:name w:val="Table Headings"/>
    <w:basedOn w:val="Normal"/>
    <w:qFormat/>
    <w:rsid w:val="00EC272E"/>
    <w:rPr>
      <w:rFonts w:ascii="Arial" w:eastAsia="MS Mincho" w:hAnsi="Arial" w:cs="Arial"/>
      <w:b/>
      <w:bCs/>
      <w:iCs/>
      <w:color w:val="FFFFFF" w:themeColor="background1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C2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72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2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72E"/>
    <w:rPr>
      <w:rFonts w:eastAsiaTheme="minorEastAsia"/>
    </w:rPr>
  </w:style>
  <w:style w:type="table" w:styleId="TableGrid">
    <w:name w:val="Table Grid"/>
    <w:basedOn w:val="TableNormal"/>
    <w:uiPriority w:val="59"/>
    <w:rsid w:val="00EC272E"/>
    <w:rPr>
      <w:rFonts w:ascii="Garamond" w:eastAsia="Times New Roman" w:hAnsi="Garamond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C27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C272E"/>
    <w:rPr>
      <w:rFonts w:ascii="Arial" w:eastAsia="MS Mincho" w:hAnsi="Arial" w:cs="Arial"/>
      <w:b/>
      <w:color w:val="008080"/>
      <w:sz w:val="44"/>
      <w:szCs w:val="44"/>
      <w:lang w:val="en-GB"/>
    </w:rPr>
  </w:style>
  <w:style w:type="character" w:styleId="Hyperlink">
    <w:name w:val="Hyperlink"/>
    <w:basedOn w:val="DefaultParagraphFont"/>
    <w:uiPriority w:val="99"/>
    <w:unhideWhenUsed/>
    <w:rsid w:val="00F64B31"/>
    <w:rPr>
      <w:color w:val="3CA5DD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C29B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49A2"/>
    <w:pPr>
      <w:ind w:left="720"/>
    </w:pPr>
    <w:rPr>
      <w:rFonts w:ascii="Times New Roman" w:eastAsia="MS Mincho" w:hAnsi="Times New Roman" w:cs="Times New Roman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A24BB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24BB"/>
    <w:rPr>
      <w:rFonts w:ascii="Times New Roman" w:eastAsia="MS Mincho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s.who.int/iris/bitstream/handle/10665/250221/9789241549745-chapter8-eng.pdf?sequence=11&amp;isAllowed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Schroeter</dc:creator>
  <cp:keywords/>
  <dc:description/>
  <cp:lastModifiedBy>SKARPHEDINSDOTTIR, Maria</cp:lastModifiedBy>
  <cp:revision>2</cp:revision>
  <dcterms:created xsi:type="dcterms:W3CDTF">2021-05-19T21:23:00Z</dcterms:created>
  <dcterms:modified xsi:type="dcterms:W3CDTF">2021-05-19T21:23:00Z</dcterms:modified>
</cp:coreProperties>
</file>